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441901-2024-06749</w:t>
      </w:r>
    </w:p>
    <w:p>
      <w:pPr>
        <w:pStyle w:val="null3"/>
        <w:jc w:val="center"/>
        <w:outlineLvl w:val="3"/>
      </w:pPr>
      <w:r>
        <w:rPr>
          <w:sz w:val="24"/>
          <w:b/>
        </w:rPr>
        <w:t>采购项目编号：</w:t>
      </w:r>
      <w:r>
        <w:rPr>
          <w:sz w:val="24"/>
          <w:b/>
        </w:rPr>
        <w:t>441901-2024-06749</w:t>
      </w:r>
    </w:p>
    <w:p>
      <w:pPr>
        <w:pStyle w:val="null3"/>
        <w:jc w:val="center"/>
        <w:outlineLvl w:val="3"/>
      </w:pPr>
      <w:r>
        <w:rPr>
          <w:sz w:val="24"/>
          <w:b/>
        </w:rPr>
        <w:t>项目名称：</w:t>
      </w:r>
      <w:r>
        <w:rPr>
          <w:sz w:val="24"/>
          <w:b/>
        </w:rPr>
        <w:t>第四届工业软件创新应用大赛策划及承办服务</w:t>
      </w:r>
    </w:p>
    <w:p>
      <w:pPr>
        <w:pStyle w:val="null3"/>
        <w:jc w:val="center"/>
        <w:outlineLvl w:val="3"/>
      </w:pPr>
      <w:r>
        <w:rPr>
          <w:sz w:val="24"/>
          <w:b/>
        </w:rPr>
        <w:t>采购人：</w:t>
      </w:r>
      <w:r>
        <w:rPr>
          <w:sz w:val="24"/>
          <w:b/>
        </w:rPr>
        <w:t>东莞市工业和信息化局</w:t>
      </w:r>
    </w:p>
    <w:p>
      <w:pPr>
        <w:pStyle w:val="null3"/>
        <w:jc w:val="center"/>
        <w:outlineLvl w:val="3"/>
      </w:pPr>
      <w:r>
        <w:rPr>
          <w:sz w:val="24"/>
          <w:b/>
        </w:rPr>
        <w:t>采购代理机构：</w:t>
      </w:r>
      <w:r>
        <w:rPr>
          <w:sz w:val="24"/>
          <w:b/>
        </w:rPr>
        <w:t>广东洲际招标代理有限公司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广东洲际招标代理有限公司</w:t>
      </w:r>
      <w:r>
        <w:rPr/>
        <w:t>受</w:t>
      </w:r>
      <w:r>
        <w:rPr/>
        <w:t>东莞市工业和信息化局</w:t>
      </w:r>
      <w:r>
        <w:rPr/>
        <w:t>的委托，采用</w:t>
      </w:r>
      <w:r>
        <w:rPr/>
        <w:t>竞争性磋商</w:t>
      </w:r>
      <w:r>
        <w:rPr/>
        <w:t>方式组织采购</w:t>
      </w:r>
      <w:r>
        <w:rPr/>
        <w:t>第四届工业软件创新应用大赛策划及承办服务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第四届工业软件创新应用大赛策划及承办服务</w:t>
      </w:r>
    </w:p>
    <w:p>
      <w:pPr>
        <w:pStyle w:val="null3"/>
        <w:ind w:firstLine="480"/>
      </w:pPr>
      <w:r>
        <w:rPr/>
        <w:t>采购计划编号：</w:t>
      </w:r>
      <w:r>
        <w:rPr/>
        <w:t>441901-2024-06749</w:t>
      </w:r>
    </w:p>
    <w:p>
      <w:pPr>
        <w:pStyle w:val="null3"/>
        <w:ind w:firstLine="480"/>
      </w:pPr>
      <w:r>
        <w:rPr/>
        <w:t>采购项目编号：</w:t>
      </w:r>
      <w:r>
        <w:rPr/>
        <w:t>441901-2024-06749</w:t>
      </w:r>
    </w:p>
    <w:p>
      <w:pPr>
        <w:pStyle w:val="null3"/>
        <w:ind w:firstLine="480"/>
      </w:pPr>
      <w:r>
        <w:rPr/>
        <w:t>采购方式：</w:t>
      </w:r>
      <w:r>
        <w:rPr/>
        <w:t>竞争性磋商</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采购包1(第四届工业软件创新应用大赛策划及承办服务):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第四届工业软件创新应用大赛策划及承办服务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合同履行期限：自签订合同之日起，至本次大赛所有活动结束，并通过项目验收之日止。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2）有依法缴纳税收和社会保障资金的良好记录：参照竞争性磋商公告附件资格条件承诺函格式（或自拟格式）提供相关承诺。</w:t>
      </w:r>
    </w:p>
    <w:p>
      <w:pPr>
        <w:pStyle w:val="null3"/>
      </w:pPr>
      <w:r>
        <w:rPr/>
        <w:t>3）具有良好的商业信誉和健全的财务会计制度：参照竞争性磋商公告附件资格条件承诺函格式（或自拟格式）提供相关承诺。</w:t>
      </w:r>
    </w:p>
    <w:p>
      <w:pPr>
        <w:pStyle w:val="null3"/>
      </w:pPr>
      <w:r>
        <w:rPr/>
        <w:t>4）履行合同所必需的设备和专业技术能力：参照竞争性磋商公告附件资格条件承诺函格式（或自拟格式）提供相关承诺。</w:t>
      </w:r>
    </w:p>
    <w:p>
      <w:pPr>
        <w:pStyle w:val="null3"/>
      </w:pPr>
      <w:r>
        <w:rPr/>
        <w:t>5）参加采购活动前3年内，在经营活动中没有重大违法记录：参照竞争性磋商公告附件资格条件承诺函格式（或参照响应承诺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采购包1（第四届工业软件创新应用大赛策划及承办服务）：</w:t>
      </w:r>
      <w:r>
        <w:rPr/>
        <w:t>本项目不属于专门面向中小企业采购的项目。中小企业需符合本项目采购标的对应行业的政策划分标准（其他未列明行业）。【注：1、供应商需提供《中小企业声明函》；2、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w:t>
      </w:r>
    </w:p>
    <w:p>
      <w:pPr>
        <w:pStyle w:val="null3"/>
        <w:outlineLvl w:val="3"/>
      </w:pPr>
      <w:r>
        <w:rPr>
          <w:sz w:val="24"/>
          <w:b/>
        </w:rPr>
        <w:t>3.本项目特定的资格要求：</w:t>
      </w:r>
    </w:p>
    <w:p>
      <w:pPr>
        <w:pStyle w:val="null3"/>
      </w:pPr>
      <w:r>
        <w:rPr/>
        <w:t>采购包1（第四届工业软件创新应用大赛策划及承办服务）：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响应承诺函相关内容承诺。</w:t>
      </w:r>
    </w:p>
    <w:p>
      <w:pPr>
        <w:pStyle w:val="null3"/>
      </w:pPr>
      <w:r>
        <w:rPr/>
        <w:t>3)本项目不接受分公司投标（响应）。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东莞市工业和信息化局</w:t>
      </w:r>
    </w:p>
    <w:p>
      <w:pPr>
        <w:pStyle w:val="null3"/>
        <w:ind w:firstLine="480"/>
      </w:pPr>
      <w:r>
        <w:rPr/>
        <w:t>地址：</w:t>
      </w:r>
      <w:r>
        <w:rPr/>
        <w:t>广东省东莞市南城区鸿福西路68号</w:t>
      </w:r>
    </w:p>
    <w:p>
      <w:pPr>
        <w:pStyle w:val="null3"/>
        <w:ind w:firstLine="480"/>
      </w:pPr>
      <w:r>
        <w:rPr/>
        <w:t>联系方式：</w:t>
      </w:r>
      <w:r>
        <w:rPr/>
        <w:t>0769-22382099</w:t>
      </w:r>
    </w:p>
    <w:p>
      <w:pPr>
        <w:pStyle w:val="null3"/>
        <w:outlineLvl w:val="3"/>
      </w:pPr>
      <w:r>
        <w:rPr>
          <w:sz w:val="24"/>
          <w:b/>
        </w:rPr>
        <w:t>2.采购代理机构信息</w:t>
      </w:r>
    </w:p>
    <w:p>
      <w:pPr>
        <w:pStyle w:val="null3"/>
        <w:ind w:firstLine="480"/>
      </w:pPr>
      <w:r>
        <w:rPr/>
        <w:t>名称：</w:t>
      </w:r>
      <w:r>
        <w:rPr/>
        <w:t>广东洲际招标代理有限公司</w:t>
      </w:r>
    </w:p>
    <w:p>
      <w:pPr>
        <w:pStyle w:val="null3"/>
        <w:ind w:firstLine="480"/>
      </w:pPr>
      <w:r>
        <w:rPr/>
        <w:t xml:space="preserve"> 地址：</w:t>
      </w:r>
      <w:r>
        <w:rPr/>
        <w:t>东莞市南城区元美路2号财富广场B座13A层08室</w:t>
      </w:r>
    </w:p>
    <w:p>
      <w:pPr>
        <w:pStyle w:val="null3"/>
        <w:ind w:firstLine="480"/>
      </w:pPr>
      <w:r>
        <w:rPr/>
        <w:t xml:space="preserve"> 联系方式：</w:t>
      </w:r>
      <w:r>
        <w:rPr/>
        <w:t>0769-23328188</w:t>
      </w:r>
    </w:p>
    <w:p>
      <w:pPr>
        <w:pStyle w:val="null3"/>
        <w:outlineLvl w:val="3"/>
      </w:pPr>
      <w:r>
        <w:rPr>
          <w:sz w:val="24"/>
          <w:b/>
        </w:rPr>
        <w:t xml:space="preserve"> 3.项目联系方式</w:t>
      </w:r>
    </w:p>
    <w:p>
      <w:pPr>
        <w:pStyle w:val="null3"/>
        <w:ind w:firstLine="480"/>
      </w:pPr>
      <w:r>
        <w:rPr/>
        <w:t xml:space="preserve"> 项目联系人：</w:t>
      </w:r>
      <w:r>
        <w:rPr/>
        <w:t>娄建平</w:t>
      </w:r>
    </w:p>
    <w:p>
      <w:pPr>
        <w:pStyle w:val="null3"/>
        <w:ind w:firstLine="480"/>
      </w:pPr>
      <w:r>
        <w:rPr/>
        <w:t xml:space="preserve"> 电话：</w:t>
      </w:r>
      <w:r>
        <w:rPr/>
        <w:t>0769-23328188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广东洲际招标代理有限公司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2024</w:t>
      </w:r>
      <w:r>
        <w:rPr>
          <w:sz w:val="24"/>
        </w:rPr>
        <w:t>年</w:t>
      </w:r>
      <w:r>
        <w:rPr>
          <w:sz w:val="24"/>
        </w:rPr>
        <w:t>1</w:t>
      </w:r>
      <w:r>
        <w:rPr>
          <w:sz w:val="24"/>
        </w:rPr>
        <w:t>月，国务院常务会议指出，以人工智能和制造业深度融合为主线，以智能制造为主攻方向，以场景应用为牵引，加快重点行业智能升级。</w:t>
      </w:r>
      <w:r>
        <w:rPr>
          <w:sz w:val="24"/>
        </w:rPr>
        <w:t>2024</w:t>
      </w:r>
      <w:r>
        <w:rPr>
          <w:sz w:val="24"/>
        </w:rPr>
        <w:t>年</w:t>
      </w:r>
      <w:r>
        <w:rPr>
          <w:sz w:val="24"/>
        </w:rPr>
        <w:t>6</w:t>
      </w:r>
      <w:r>
        <w:rPr>
          <w:sz w:val="24"/>
        </w:rPr>
        <w:t>月，省政府发布</w:t>
      </w:r>
      <w:r>
        <w:rPr>
          <w:sz w:val="24"/>
        </w:rPr>
        <w:t>“</w:t>
      </w:r>
      <w:r>
        <w:rPr>
          <w:sz w:val="24"/>
        </w:rPr>
        <w:t>人工智能</w:t>
      </w:r>
      <w:r>
        <w:rPr>
          <w:sz w:val="24"/>
        </w:rPr>
        <w:t>45</w:t>
      </w:r>
      <w:r>
        <w:rPr>
          <w:sz w:val="24"/>
        </w:rPr>
        <w:t>条</w:t>
      </w:r>
      <w:r>
        <w:rPr>
          <w:sz w:val="24"/>
        </w:rPr>
        <w:t>”</w:t>
      </w:r>
      <w:r>
        <w:rPr>
          <w:sz w:val="24"/>
        </w:rPr>
        <w:t>，其中第</w:t>
      </w:r>
      <w:r>
        <w:rPr>
          <w:sz w:val="24"/>
        </w:rPr>
        <w:t>19</w:t>
      </w:r>
      <w:r>
        <w:rPr>
          <w:sz w:val="24"/>
        </w:rPr>
        <w:t>条明确指出：深化人工智能技术在研发设计、中试验证、生产制造、运营管理等场景融合应用，推进工业数字化智能化转型。举办工业软件创新应用大赛，是东莞市积极贯彻落实国家、省有关战略部署，积极推动人工智能赋能新型工业化，聚焦工业软件行业发展与创新，推进</w:t>
      </w:r>
      <w:r>
        <w:rPr>
          <w:sz w:val="24"/>
        </w:rPr>
        <w:t>AI+</w:t>
      </w:r>
      <w:r>
        <w:rPr>
          <w:sz w:val="24"/>
        </w:rPr>
        <w:t>工业核心技术攻关工作的重要举措。</w:t>
      </w:r>
    </w:p>
    <w:p>
      <w:pPr>
        <w:pStyle w:val="null3"/>
        <w:spacing w:before="75"/>
        <w:ind w:firstLine="480"/>
      </w:pPr>
      <w:r>
        <w:rPr>
          <w:sz w:val="24"/>
        </w:rPr>
        <w:t>（一）本项目有利于推动制造业实现数字化、智能化转型。通过办赛提高工业软件供给能力推动制造业数字化转型，赋能本地企业生产力提升，为促进传统制造业实现数字化、智能化转型提供强有力的支撑。</w:t>
      </w:r>
    </w:p>
    <w:p>
      <w:pPr>
        <w:pStyle w:val="null3"/>
        <w:spacing w:before="75"/>
        <w:ind w:firstLine="480"/>
      </w:pPr>
      <w:r>
        <w:rPr>
          <w:sz w:val="24"/>
        </w:rPr>
        <w:t>（二）本项目有利于培育工业软件产业创新发展动能。通过办赛激发本地软件企业创新活力，提升研发水平和质量。同时通过大赛招引符合产业发展需要的优质厂商落户，带动产业加速发展壮大。</w:t>
      </w:r>
    </w:p>
    <w:p>
      <w:pPr>
        <w:pStyle w:val="null3"/>
        <w:spacing w:before="75"/>
        <w:ind w:firstLine="480"/>
      </w:pPr>
      <w:r>
        <w:rPr>
          <w:sz w:val="24"/>
        </w:rPr>
        <w:t>（三）本项目有利于创新人才招引聚集。通过举办高水平有影响力的全国性重大赛事和相关产业对接活动，进一步提升我市产业生态氛围，吸引全国高水平、复合型、研发型人才聚集东莞，促进创新创业。</w:t>
      </w:r>
    </w:p>
    <w:p>
      <w:pPr>
        <w:pStyle w:val="null3"/>
        <w:spacing w:before="75"/>
        <w:ind w:firstLine="480"/>
      </w:pPr>
      <w:r>
        <w:rPr>
          <w:sz w:val="24"/>
        </w:rPr>
        <w:t>（四）本项目有利于促进</w:t>
      </w:r>
      <w:r>
        <w:rPr>
          <w:sz w:val="24"/>
        </w:rPr>
        <w:t>AI</w:t>
      </w:r>
      <w:r>
        <w:rPr>
          <w:sz w:val="24"/>
        </w:rPr>
        <w:t>赋能千行百业。通过办赛在东莞形成浓厚的</w:t>
      </w:r>
      <w:r>
        <w:rPr>
          <w:sz w:val="24"/>
        </w:rPr>
        <w:t>“AI</w:t>
      </w:r>
      <w:r>
        <w:rPr>
          <w:sz w:val="24"/>
        </w:rPr>
        <w:t>创新创业</w:t>
      </w:r>
      <w:r>
        <w:rPr>
          <w:sz w:val="24"/>
        </w:rPr>
        <w:t>”</w:t>
      </w:r>
      <w:r>
        <w:rPr>
          <w:sz w:val="24"/>
        </w:rPr>
        <w:t>氛围，带动各传统行业改革创新，实现跨越式发展。</w:t>
      </w:r>
    </w:p>
    <w:p>
      <w:pPr>
        <w:pStyle w:val="null3"/>
        <w:spacing w:before="75"/>
      </w:pPr>
      <w:r>
        <w:rPr/>
        <w:t>采购包1（第四届工业软件创新应用大赛策划及承办服务）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自签订合同之日起，至本次大赛所有活动结束，并通过项目验收之日止。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1期：支付比例100%,1、分三期支付： （1）签订合同后15个工作日内，采购人向成交供应商支付合同金额的40%； （2）举办大赛决赛前15个工作日内，采购人向成交供应商支付合同金额的50%； （3）活动完成后15个工作日内，采购人向成交供应商支付合同金额的10%。 2、本项目的每笔款项均以人民币方式支付，支付的所需文件如下： （1）合同； （2）等额增值税专用发票。 3、因采购人使用的是财政资金，采购人在前款规定的付款时间为向政府采购支付部门提出办理财政支付申请手续的时间（不含政府财政支付部门审核的时间），在规定时间内提出支付申请手续后成交供应商不得追究采购人任何延期支付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1期：成交供应商完成项目合同约定的全部服务内容，应通过采购人组织的项目验收评审，验收不合格的将视情况部分或全部扣除项目尾款。各包提交的材料包括但不限于以下材料： （1）工作总结；（2）获奖名单；（3）出席活动的现场嘉宾、讲师、选手名单；（4）精选现场照片、视频；（5）费用支出明细归集表。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1、报价超出采购预算（最高限价）金额的，按无效报价处理。 2、本项目要求以人民币报价，采用总价包干形式，报价包含但不限于场地租赁、耗材、通讯、服装、物料制作、办公设备、宣传、人工及社保福利、专家评审费、差旅费、会务费、全额含税发票、合同实施过程中应预见和不可预见费用等各项费用。供应商的报价已包含完成本磋商文件规定的一切费用，结算价不因磋商响应人报价清单中的缺漏项而予以变更。 3、报价必须合理，如评审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报价处理。 4、合同条款：供应商实质响应合同各条款。5、供应商能为采购人提供便捷的服务，大赛执行筹备期间出现复杂情况时，供应商0.5小时内响应，1小时内到达大赛筹委工作组办公地点（东莞市南城区鸿福西路68号塞纳嘉园2层）现场沟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第四届工业软件创新应用大赛策划及承办服务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第四届工业软件创新应用大赛策划及承办服务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一、项目人员保证要求</w:t>
            </w:r>
          </w:p>
          <w:p>
            <w:pPr>
              <w:pStyle w:val="null3"/>
            </w:pPr>
            <w:r>
              <w:rPr>
                <w:sz w:val="24"/>
                <w:b/>
              </w:rPr>
              <w:t>★</w:t>
            </w:r>
            <w:r>
              <w:rPr>
                <w:sz w:val="24"/>
                <w:b/>
              </w:rPr>
              <w:t>1</w:t>
            </w:r>
            <w:r>
              <w:rPr>
                <w:sz w:val="24"/>
                <w:b/>
              </w:rPr>
              <w:t>、项目组成员应与响应文件中所提供的人员名单相符，未经采购人许可随意变更的，采购人有权追究成交供应商责任，并采取相应处罚措施。</w:t>
            </w:r>
          </w:p>
          <w:p>
            <w:pPr>
              <w:pStyle w:val="null3"/>
            </w:pPr>
            <w:r>
              <w:rPr>
                <w:sz w:val="24"/>
              </w:rPr>
              <w:t>2</w:t>
            </w:r>
            <w:r>
              <w:rPr>
                <w:sz w:val="24"/>
              </w:rPr>
              <w:t>、采购人如认为成交供应商的项目团队成员达不到要求，有权书面通知成交供应商，成交供应商应负责在</w:t>
            </w:r>
            <w:r>
              <w:rPr>
                <w:sz w:val="24"/>
              </w:rPr>
              <w:t xml:space="preserve"> 5 </w:t>
            </w:r>
            <w:r>
              <w:rPr>
                <w:sz w:val="24"/>
              </w:rPr>
              <w:t>个工作日内调换符合采购人要求的人员。</w:t>
            </w:r>
          </w:p>
          <w:p>
            <w:pPr>
              <w:pStyle w:val="null3"/>
            </w:pPr>
            <w:r>
              <w:rPr>
                <w:sz w:val="24"/>
              </w:rPr>
              <w:t>二、项目质量保证要求</w:t>
            </w:r>
          </w:p>
          <w:p>
            <w:pPr>
              <w:pStyle w:val="null3"/>
            </w:pPr>
            <w:r>
              <w:rPr>
                <w:sz w:val="24"/>
              </w:rPr>
              <w:t>1</w:t>
            </w:r>
            <w:r>
              <w:rPr>
                <w:sz w:val="24"/>
              </w:rPr>
              <w:t>、成交供应商应严格遵守合同中关于项目承办服务的若干技术质量规定，制定严格的质量安全措施，保证大赛成功举办。</w:t>
            </w:r>
          </w:p>
          <w:p>
            <w:pPr>
              <w:pStyle w:val="null3"/>
            </w:pPr>
            <w:r>
              <w:rPr>
                <w:sz w:val="24"/>
              </w:rPr>
              <w:t>2</w:t>
            </w:r>
            <w:r>
              <w:rPr>
                <w:sz w:val="24"/>
              </w:rPr>
              <w:t>、由于成交供应商质量安全措施不力造成项目质量安全事故的责任，以及由此发生的费用和损失，由成交供应商承担。</w:t>
            </w:r>
          </w:p>
          <w:p>
            <w:pPr>
              <w:pStyle w:val="null3"/>
            </w:pPr>
            <w:r>
              <w:rPr>
                <w:sz w:val="24"/>
              </w:rPr>
              <w:t>三、项目版权保证要求</w:t>
            </w:r>
          </w:p>
          <w:p>
            <w:pPr>
              <w:pStyle w:val="null3"/>
            </w:pPr>
            <w:r>
              <w:rPr>
                <w:sz w:val="24"/>
              </w:rPr>
              <w:t>1</w:t>
            </w:r>
            <w:r>
              <w:rPr>
                <w:sz w:val="24"/>
              </w:rPr>
              <w:t>、成交供应商承诺响应文件所提供的成果不侵犯任何有关部门专利、商标、行业设计、版权及其它知识产权或所有权，所有因此引起的法律行为均由成交供应商负责。</w:t>
            </w:r>
          </w:p>
          <w:p>
            <w:pPr>
              <w:pStyle w:val="null3"/>
            </w:pPr>
            <w:r>
              <w:rPr>
                <w:sz w:val="24"/>
              </w:rPr>
              <w:t>2</w:t>
            </w:r>
            <w:r>
              <w:rPr>
                <w:sz w:val="24"/>
              </w:rPr>
              <w:t>、成交供应商应对因与任何以上知识产权或所有权引发的有关诉讼或行为提供赔偿。</w:t>
            </w:r>
          </w:p>
          <w:p>
            <w:pPr>
              <w:pStyle w:val="null3"/>
            </w:pPr>
            <w:r>
              <w:rPr>
                <w:sz w:val="24"/>
              </w:rPr>
              <w:t>四、项目其他要求</w:t>
            </w:r>
          </w:p>
          <w:p>
            <w:pPr>
              <w:pStyle w:val="null3"/>
            </w:pPr>
            <w:r>
              <w:rPr>
                <w:sz w:val="24"/>
                <w:b/>
              </w:rPr>
              <w:t>★</w:t>
            </w:r>
            <w:r>
              <w:rPr>
                <w:sz w:val="24"/>
                <w:b/>
              </w:rPr>
              <w:t>1</w:t>
            </w:r>
            <w:r>
              <w:rPr>
                <w:sz w:val="24"/>
                <w:b/>
              </w:rPr>
              <w:t>、成交供应商应接受采购人、大赛组委会及有关统筹单位就大赛实施的组织协调，须服从总体安排。</w:t>
            </w:r>
          </w:p>
          <w:p>
            <w:pPr>
              <w:pStyle w:val="null3"/>
            </w:pPr>
            <w:r>
              <w:rPr>
                <w:sz w:val="24"/>
                <w:b/>
              </w:rPr>
              <w:t>★</w:t>
            </w:r>
            <w:r>
              <w:rPr>
                <w:sz w:val="24"/>
                <w:b/>
              </w:rPr>
              <w:t>2</w:t>
            </w:r>
            <w:r>
              <w:rPr>
                <w:sz w:val="24"/>
                <w:b/>
              </w:rPr>
              <w:t>、成交供应商应磋商文件的要求开展工作。第四届工业软件创新应用大赛的工作要求如有变化的，采购人有权利根据大赛举办需要调整部分工作内容、形式和进度要求，成交供应商须承诺完全按照调整后的工作要求、形式和进度执行服务内容。</w:t>
            </w:r>
          </w:p>
          <w:p>
            <w:pPr>
              <w:pStyle w:val="null3"/>
            </w:pPr>
            <w:r>
              <w:rPr>
                <w:sz w:val="24"/>
              </w:rPr>
              <w:t>3</w:t>
            </w:r>
            <w:r>
              <w:rPr>
                <w:sz w:val="24"/>
              </w:rPr>
              <w:t>、若成交供应商在服务期间出现下列情况，将被解除服务合同，并向有关部门上报，登记不良诚信记录：（</w:t>
            </w:r>
            <w:r>
              <w:rPr>
                <w:sz w:val="24"/>
              </w:rPr>
              <w:t>1</w:t>
            </w:r>
            <w:r>
              <w:rPr>
                <w:sz w:val="24"/>
              </w:rPr>
              <w:t>）将本项目服务转包他人；（</w:t>
            </w:r>
            <w:r>
              <w:rPr>
                <w:sz w:val="24"/>
              </w:rPr>
              <w:t>2</w:t>
            </w:r>
            <w:r>
              <w:rPr>
                <w:sz w:val="24"/>
              </w:rPr>
              <w:t>）出现重大责任问题；（</w:t>
            </w:r>
            <w:r>
              <w:rPr>
                <w:sz w:val="24"/>
              </w:rPr>
              <w:t>3</w:t>
            </w:r>
            <w:r>
              <w:rPr>
                <w:sz w:val="24"/>
              </w:rPr>
              <w:t>）提供的服务未达到本项目的要求，影响活动进程和质量。</w:t>
            </w:r>
          </w:p>
          <w:p>
            <w:pPr>
              <w:pStyle w:val="null3"/>
            </w:pPr>
            <w:r>
              <w:rPr>
                <w:sz w:val="24"/>
              </w:rPr>
              <w:t>五、项目技术要求</w:t>
            </w:r>
          </w:p>
          <w:p>
            <w:pPr>
              <w:pStyle w:val="null3"/>
            </w:pPr>
            <w:r>
              <w:rPr>
                <w:sz w:val="24"/>
              </w:rPr>
              <w:t>（一）服务内容</w:t>
            </w:r>
          </w:p>
          <w:p>
            <w:pPr>
              <w:pStyle w:val="null3"/>
            </w:pPr>
            <w:r>
              <w:rPr>
                <w:sz w:val="24"/>
              </w:rPr>
              <w:t>1</w:t>
            </w:r>
            <w:r>
              <w:rPr>
                <w:sz w:val="24"/>
              </w:rPr>
              <w:t>、大赛策划</w:t>
            </w:r>
          </w:p>
          <w:p>
            <w:pPr>
              <w:pStyle w:val="null3"/>
            </w:pPr>
            <w:r>
              <w:rPr>
                <w:sz w:val="24"/>
              </w:rPr>
              <w:t>（</w:t>
            </w:r>
            <w:r>
              <w:rPr>
                <w:sz w:val="24"/>
              </w:rPr>
              <w:t>1</w:t>
            </w:r>
            <w:r>
              <w:rPr>
                <w:sz w:val="24"/>
              </w:rPr>
              <w:t>）成交供应商负责总体赛事执行方案的制定及完善，内容包括各赛事计划（赛事预热、赛事启动、作品征集、初赛评审、决赛评审、颁奖典礼（含产业交流）六个阶段）与实施保障（工作小组、专家顾问、技术支持、合作资源等）。成交供应商须在活动前提交总体赛事策划方案，明确赛事时间进度计划及执行方案，严格按照赛事计划认真组织落实。各方案及计划须得到采购人认可后方可实施。</w:t>
            </w:r>
          </w:p>
          <w:p>
            <w:pPr>
              <w:pStyle w:val="null3"/>
            </w:pPr>
            <w:r>
              <w:rPr>
                <w:sz w:val="24"/>
              </w:rPr>
              <w:t>（</w:t>
            </w:r>
            <w:r>
              <w:rPr>
                <w:sz w:val="24"/>
              </w:rPr>
              <w:t>2</w:t>
            </w:r>
            <w:r>
              <w:rPr>
                <w:sz w:val="24"/>
              </w:rPr>
              <w:t>）大赛目标：组织工业软件创新应用大赛，作品征集要求必须是应用于工业场景各业务范围环节，结合人工智能技术创新实践的产品或解决方案等，整个赛事参赛作品数量不少于</w:t>
            </w:r>
            <w:r>
              <w:rPr>
                <w:sz w:val="24"/>
              </w:rPr>
              <w:t>50</w:t>
            </w:r>
            <w:r>
              <w:rPr>
                <w:sz w:val="24"/>
              </w:rPr>
              <w:t>份。</w:t>
            </w:r>
          </w:p>
          <w:p>
            <w:pPr>
              <w:pStyle w:val="null3"/>
            </w:pPr>
            <w:r>
              <w:rPr>
                <w:sz w:val="24"/>
              </w:rPr>
              <w:t>2</w:t>
            </w:r>
            <w:r>
              <w:rPr>
                <w:sz w:val="24"/>
              </w:rPr>
              <w:t>、网页</w:t>
            </w:r>
            <w:r>
              <w:rPr>
                <w:sz w:val="24"/>
              </w:rPr>
              <w:t>/</w:t>
            </w:r>
            <w:r>
              <w:rPr>
                <w:sz w:val="24"/>
              </w:rPr>
              <w:t>公众号等大赛宣传</w:t>
            </w:r>
          </w:p>
          <w:p>
            <w:pPr>
              <w:pStyle w:val="null3"/>
            </w:pPr>
            <w:r>
              <w:rPr>
                <w:sz w:val="24"/>
              </w:rPr>
              <w:t>（</w:t>
            </w:r>
            <w:r>
              <w:rPr>
                <w:sz w:val="24"/>
              </w:rPr>
              <w:t>1</w:t>
            </w:r>
            <w:r>
              <w:rPr>
                <w:sz w:val="24"/>
              </w:rPr>
              <w:t>）宣传推进步骤</w:t>
            </w:r>
          </w:p>
          <w:p>
            <w:pPr>
              <w:pStyle w:val="null3"/>
            </w:pPr>
            <w:r>
              <w:rPr>
                <w:sz w:val="24"/>
              </w:rPr>
              <w:t>①</w:t>
            </w:r>
            <w:r>
              <w:rPr>
                <w:sz w:val="24"/>
              </w:rPr>
              <w:t>前期预热阶段：线上发布大赛启动信息，同时在线下举办启动仪式。</w:t>
            </w:r>
          </w:p>
          <w:p>
            <w:pPr>
              <w:pStyle w:val="null3"/>
            </w:pPr>
            <w:r>
              <w:rPr>
                <w:sz w:val="24"/>
              </w:rPr>
              <w:t>②</w:t>
            </w:r>
            <w:r>
              <w:rPr>
                <w:sz w:val="24"/>
              </w:rPr>
              <w:t>赛事进行阶段：实时更新大赛进展。</w:t>
            </w:r>
          </w:p>
          <w:p>
            <w:pPr>
              <w:pStyle w:val="null3"/>
            </w:pPr>
            <w:r>
              <w:rPr>
                <w:sz w:val="24"/>
              </w:rPr>
              <w:t>③</w:t>
            </w:r>
            <w:r>
              <w:rPr>
                <w:sz w:val="24"/>
              </w:rPr>
              <w:t>颁奖阶段：举办颁奖盛会，邀请市领导、产学研用重磅嘉宾出席，并全方位报道大赛盛况，展示优秀获奖作品。</w:t>
            </w:r>
          </w:p>
          <w:p>
            <w:pPr>
              <w:pStyle w:val="null3"/>
            </w:pPr>
            <w:r>
              <w:rPr>
                <w:sz w:val="24"/>
              </w:rPr>
              <w:t>④</w:t>
            </w:r>
            <w:r>
              <w:rPr>
                <w:sz w:val="24"/>
              </w:rPr>
              <w:t>成果转化培育阶段（</w:t>
            </w:r>
            <w:r>
              <w:rPr>
                <w:sz w:val="24"/>
              </w:rPr>
              <w:t>11</w:t>
            </w:r>
            <w:r>
              <w:rPr>
                <w:sz w:val="24"/>
              </w:rPr>
              <w:t>月）：总结大赛成果，通过各渠道进行大范围展示推广；同时举办供需对接及产业交流等活动，促进优秀项目孵化。</w:t>
            </w:r>
          </w:p>
          <w:p>
            <w:pPr>
              <w:pStyle w:val="null3"/>
            </w:pPr>
            <w:r>
              <w:rPr>
                <w:sz w:val="24"/>
              </w:rPr>
              <w:t>（</w:t>
            </w:r>
            <w:r>
              <w:rPr>
                <w:sz w:val="24"/>
              </w:rPr>
              <w:t>2</w:t>
            </w:r>
            <w:r>
              <w:rPr>
                <w:sz w:val="24"/>
              </w:rPr>
              <w:t>）渠道宣传</w:t>
            </w:r>
          </w:p>
          <w:p>
            <w:pPr>
              <w:pStyle w:val="null3"/>
            </w:pPr>
            <w:r>
              <w:rPr>
                <w:sz w:val="24"/>
              </w:rPr>
              <w:t>①</w:t>
            </w:r>
            <w:r>
              <w:rPr>
                <w:sz w:val="24"/>
              </w:rPr>
              <w:t>政府推广渠道：通过政府相关部门以及下属机构公开广泛传播。</w:t>
            </w:r>
          </w:p>
          <w:p>
            <w:pPr>
              <w:pStyle w:val="null3"/>
            </w:pPr>
            <w:r>
              <w:rPr>
                <w:sz w:val="24"/>
              </w:rPr>
              <w:t>②</w:t>
            </w:r>
            <w:r>
              <w:rPr>
                <w:sz w:val="24"/>
              </w:rPr>
              <w:t>合作伙伴渠道：通过多方合作单位推介大赛，提升社会品牌影响力。</w:t>
            </w:r>
          </w:p>
          <w:p>
            <w:pPr>
              <w:pStyle w:val="null3"/>
            </w:pPr>
            <w:r>
              <w:rPr>
                <w:sz w:val="24"/>
              </w:rPr>
              <w:t>③</w:t>
            </w:r>
            <w:r>
              <w:rPr>
                <w:sz w:val="24"/>
              </w:rPr>
              <w:t>媒体渠道：联系全国重点主流媒体及行业垂直媒体全程报道大赛动态，宣传大赛主题活动的进展，并集中报道大赛盛况。</w:t>
            </w:r>
          </w:p>
          <w:p>
            <w:pPr>
              <w:pStyle w:val="null3"/>
            </w:pPr>
            <w:r>
              <w:rPr>
                <w:sz w:val="24"/>
              </w:rPr>
              <w:t>3</w:t>
            </w:r>
            <w:r>
              <w:rPr>
                <w:sz w:val="24"/>
              </w:rPr>
              <w:t>、作品征集</w:t>
            </w:r>
          </w:p>
          <w:p>
            <w:pPr>
              <w:pStyle w:val="null3"/>
            </w:pPr>
            <w:r>
              <w:rPr>
                <w:sz w:val="24"/>
              </w:rPr>
              <w:t>广泛发布大赛信息，多渠道多模式征集作品，完成大赛指标。</w:t>
            </w:r>
          </w:p>
          <w:p>
            <w:pPr>
              <w:pStyle w:val="null3"/>
            </w:pPr>
            <w:r>
              <w:rPr>
                <w:sz w:val="24"/>
              </w:rPr>
              <w:t>4</w:t>
            </w:r>
            <w:r>
              <w:rPr>
                <w:sz w:val="24"/>
              </w:rPr>
              <w:t>、评审工作</w:t>
            </w:r>
          </w:p>
          <w:p>
            <w:pPr>
              <w:pStyle w:val="null3"/>
            </w:pPr>
            <w:r>
              <w:rPr>
                <w:sz w:val="24"/>
              </w:rPr>
              <w:t>（</w:t>
            </w:r>
            <w:r>
              <w:rPr>
                <w:sz w:val="24"/>
              </w:rPr>
              <w:t>1</w:t>
            </w:r>
            <w:r>
              <w:rPr>
                <w:sz w:val="24"/>
              </w:rPr>
              <w:t>）负责制定合理的评审标准，以</w:t>
            </w:r>
            <w:r>
              <w:rPr>
                <w:sz w:val="24"/>
              </w:rPr>
              <w:t>“</w:t>
            </w:r>
            <w:r>
              <w:rPr>
                <w:sz w:val="24"/>
              </w:rPr>
              <w:t>公平、公正、公开</w:t>
            </w:r>
            <w:r>
              <w:rPr>
                <w:sz w:val="24"/>
              </w:rPr>
              <w:t>”</w:t>
            </w:r>
            <w:r>
              <w:rPr>
                <w:sz w:val="24"/>
              </w:rPr>
              <w:t>的原则，组织大赛的评审。</w:t>
            </w:r>
          </w:p>
          <w:p>
            <w:pPr>
              <w:pStyle w:val="null3"/>
            </w:pPr>
            <w:r>
              <w:rPr>
                <w:sz w:val="24"/>
              </w:rPr>
              <w:t>（</w:t>
            </w:r>
            <w:r>
              <w:rPr>
                <w:sz w:val="24"/>
              </w:rPr>
              <w:t>2</w:t>
            </w:r>
            <w:r>
              <w:rPr>
                <w:sz w:val="24"/>
              </w:rPr>
              <w:t>）组建大赛评委会，专家评审人数不少于</w:t>
            </w:r>
            <w:r>
              <w:rPr>
                <w:sz w:val="24"/>
              </w:rPr>
              <w:t>8</w:t>
            </w:r>
            <w:r>
              <w:rPr>
                <w:sz w:val="24"/>
              </w:rPr>
              <w:t>人，包括但不限于院校专家、企业技术专家、行业顾问等。</w:t>
            </w:r>
          </w:p>
          <w:p>
            <w:pPr>
              <w:pStyle w:val="null3"/>
            </w:pPr>
            <w:r>
              <w:rPr>
                <w:sz w:val="24"/>
              </w:rPr>
              <w:t>（</w:t>
            </w:r>
            <w:r>
              <w:rPr>
                <w:sz w:val="24"/>
              </w:rPr>
              <w:t>3</w:t>
            </w:r>
            <w:r>
              <w:rPr>
                <w:sz w:val="24"/>
              </w:rPr>
              <w:t>）负责组织赛事的评审工作，包括专家邀请及接待，评审场地布置、现场组织与协助，评审结果统计与公布，参赛选手联络等。</w:t>
            </w:r>
          </w:p>
          <w:p>
            <w:pPr>
              <w:pStyle w:val="null3"/>
            </w:pPr>
            <w:r>
              <w:rPr>
                <w:sz w:val="24"/>
              </w:rPr>
              <w:t>5</w:t>
            </w:r>
            <w:r>
              <w:rPr>
                <w:sz w:val="24"/>
              </w:rPr>
              <w:t>、启动仪式</w:t>
            </w:r>
          </w:p>
          <w:p>
            <w:pPr>
              <w:pStyle w:val="null3"/>
            </w:pPr>
            <w:r>
              <w:rPr>
                <w:sz w:val="24"/>
              </w:rPr>
              <w:t>（</w:t>
            </w:r>
            <w:r>
              <w:rPr>
                <w:sz w:val="24"/>
              </w:rPr>
              <w:t>1</w:t>
            </w:r>
            <w:r>
              <w:rPr>
                <w:sz w:val="24"/>
              </w:rPr>
              <w:t>）负责启动仪式部分现场物料、嘉宾接待、会务接待等工作。</w:t>
            </w:r>
          </w:p>
          <w:p>
            <w:pPr>
              <w:pStyle w:val="null3"/>
            </w:pPr>
            <w:r>
              <w:rPr>
                <w:sz w:val="24"/>
              </w:rPr>
              <w:t>（</w:t>
            </w:r>
            <w:r>
              <w:rPr>
                <w:sz w:val="24"/>
              </w:rPr>
              <w:t>2</w:t>
            </w:r>
            <w:r>
              <w:rPr>
                <w:sz w:val="24"/>
              </w:rPr>
              <w:t>）启动仪式现场将邀请市领导相关部门负责人、协办单位与支持单位负责人、媒体代表和目标参赛企业代表参加，成交供应商负责组织协调相关对接工作。</w:t>
            </w:r>
          </w:p>
          <w:p>
            <w:pPr>
              <w:pStyle w:val="null3"/>
            </w:pPr>
            <w:r>
              <w:rPr>
                <w:sz w:val="24"/>
              </w:rPr>
              <w:t>6</w:t>
            </w:r>
            <w:r>
              <w:rPr>
                <w:sz w:val="24"/>
              </w:rPr>
              <w:t>、颁奖典礼及优秀作品展示</w:t>
            </w:r>
          </w:p>
          <w:p>
            <w:pPr>
              <w:pStyle w:val="null3"/>
            </w:pPr>
            <w:r>
              <w:rPr>
                <w:sz w:val="24"/>
              </w:rPr>
              <w:t>（</w:t>
            </w:r>
            <w:r>
              <w:rPr>
                <w:sz w:val="24"/>
              </w:rPr>
              <w:t>1</w:t>
            </w:r>
            <w:r>
              <w:rPr>
                <w:sz w:val="24"/>
              </w:rPr>
              <w:t>）成交供应商负责颁奖典礼场地租赁、场地搭建、现场物料、嘉宾接待、会务接待等工作。</w:t>
            </w:r>
          </w:p>
          <w:p>
            <w:pPr>
              <w:pStyle w:val="null3"/>
            </w:pPr>
            <w:r>
              <w:rPr>
                <w:sz w:val="24"/>
              </w:rPr>
              <w:t>（</w:t>
            </w:r>
            <w:r>
              <w:rPr>
                <w:sz w:val="24"/>
              </w:rPr>
              <w:t>2</w:t>
            </w:r>
            <w:r>
              <w:rPr>
                <w:sz w:val="24"/>
              </w:rPr>
              <w:t>）颁奖典礼现场将邀请省领导、市领导相关部门负责人、协办单位与支持单位负责人、媒体代表和获奖代表参加，成交供应商负责组织协调相关对接工作。</w:t>
            </w:r>
          </w:p>
          <w:p>
            <w:pPr>
              <w:pStyle w:val="null3"/>
            </w:pPr>
            <w:r>
              <w:rPr>
                <w:sz w:val="24"/>
              </w:rPr>
              <w:t>（</w:t>
            </w:r>
            <w:r>
              <w:rPr>
                <w:sz w:val="24"/>
              </w:rPr>
              <w:t>3</w:t>
            </w:r>
            <w:r>
              <w:rPr>
                <w:sz w:val="24"/>
              </w:rPr>
              <w:t>）成交供应商负责组织产业交流活动，积极引导优秀企业来东莞落地转化。</w:t>
            </w:r>
          </w:p>
          <w:p>
            <w:pPr>
              <w:pStyle w:val="null3"/>
            </w:pPr>
            <w:r>
              <w:rPr>
                <w:sz w:val="24"/>
              </w:rPr>
              <w:t>7</w:t>
            </w:r>
            <w:r>
              <w:rPr>
                <w:sz w:val="24"/>
              </w:rPr>
              <w:t>、奖金</w:t>
            </w:r>
          </w:p>
          <w:p>
            <w:pPr>
              <w:pStyle w:val="null3"/>
            </w:pPr>
            <w:r>
              <w:rPr>
                <w:sz w:val="24"/>
              </w:rPr>
              <w:t>（</w:t>
            </w:r>
            <w:r>
              <w:rPr>
                <w:sz w:val="24"/>
              </w:rPr>
              <w:t>1</w:t>
            </w:r>
            <w:r>
              <w:rPr>
                <w:sz w:val="24"/>
              </w:rPr>
              <w:t>）本次大赛设奖金总额不低于</w:t>
            </w:r>
            <w:r>
              <w:rPr>
                <w:sz w:val="24"/>
              </w:rPr>
              <w:t>157</w:t>
            </w:r>
            <w:r>
              <w:rPr>
                <w:sz w:val="24"/>
              </w:rPr>
              <w:t>万元，计划设置突出贡献奖、应用场景创新奖、技术创新奖、玉兰奖以及优秀奖。</w:t>
            </w:r>
          </w:p>
          <w:p>
            <w:pPr>
              <w:pStyle w:val="null3"/>
            </w:pPr>
            <w:r>
              <w:rPr>
                <w:sz w:val="24"/>
              </w:rPr>
              <w:t>（注：如因参赛作品未达到主办方、评审专家组或组委会要求，突出贡献奖允许存在空缺情况。经评审专家组讨论并出具意见后，空缺奖金可用于临时增设应用场景创新奖及技术创新奖各</w:t>
            </w:r>
            <w:r>
              <w:rPr>
                <w:sz w:val="24"/>
              </w:rPr>
              <w:t>4</w:t>
            </w:r>
            <w:r>
              <w:rPr>
                <w:sz w:val="24"/>
              </w:rPr>
              <w:t>名，根据决赛成绩排序产生。</w:t>
            </w:r>
            <w:r>
              <w:rPr>
                <w:sz w:val="24"/>
              </w:rPr>
              <w:t>）</w:t>
            </w:r>
          </w:p>
          <w:tbl>
            <w:tblPr>
              <w:tblBorders>
                <w:top w:val="none" w:color="000000" w:sz="4"/>
                <w:left w:val="none" w:color="000000" w:sz="4"/>
                <w:bottom w:val="none" w:color="000000" w:sz="4"/>
                <w:right w:val="none" w:color="000000" w:sz="4"/>
                <w:insideH w:val="none"/>
                <w:insideV w:val="none"/>
              </w:tblBorders>
            </w:tblPr>
            <w:tblGrid>
              <w:gridCol w:w="2056"/>
              <w:gridCol w:w="628"/>
              <w:gridCol w:w="628"/>
              <w:gridCol w:w="2285"/>
            </w:tblGrid>
            <w:tr>
              <w:tc>
                <w:tcPr>
                  <w:tcW w:type="dxa" w:w="2056"/>
                  <w:tcBorders>
                    <w:top w:val="singl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b/>
                    </w:rPr>
                    <w:t>奖项</w:t>
                  </w:r>
                </w:p>
              </w:tc>
              <w:tc>
                <w:tcPr>
                  <w:tcW w:type="dxa" w:w="628"/>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b/>
                    </w:rPr>
                    <w:t>奖金</w:t>
                  </w:r>
                </w:p>
              </w:tc>
              <w:tc>
                <w:tcPr>
                  <w:tcW w:type="dxa" w:w="628"/>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b/>
                    </w:rPr>
                    <w:t>数量</w:t>
                  </w:r>
                </w:p>
              </w:tc>
              <w:tc>
                <w:tcPr>
                  <w:tcW w:type="dxa" w:w="2285"/>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b/>
                    </w:rPr>
                    <w:t>说明</w:t>
                  </w:r>
                </w:p>
              </w:tc>
            </w:tr>
            <w:tr>
              <w:tc>
                <w:tcPr>
                  <w:tcW w:type="dxa" w:w="2056"/>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rPr>
                    <w:t>工业</w:t>
                  </w:r>
                  <w:r>
                    <w:rPr>
                      <w:sz w:val="24"/>
                    </w:rPr>
                    <w:t>AI</w:t>
                  </w:r>
                  <w:r>
                    <w:rPr>
                      <w:sz w:val="24"/>
                    </w:rPr>
                    <w:t>突出贡献奖</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40</w:t>
                  </w:r>
                  <w:r>
                    <w:rPr>
                      <w:sz w:val="24"/>
                    </w:rPr>
                    <w:t>万</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1</w:t>
                  </w:r>
                  <w:r>
                    <w:rPr>
                      <w:sz w:val="24"/>
                    </w:rPr>
                    <w:t>名</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pPr>
                  <w:r>
                    <w:rPr>
                      <w:sz w:val="24"/>
                    </w:rPr>
                    <w:t>如发生空缺，则改为增设应用场景创新奖及技术创新奖各</w:t>
                  </w:r>
                  <w:r>
                    <w:rPr>
                      <w:sz w:val="24"/>
                    </w:rPr>
                    <w:t>4</w:t>
                  </w:r>
                  <w:r>
                    <w:rPr>
                      <w:sz w:val="24"/>
                    </w:rPr>
                    <w:t>名。</w:t>
                  </w:r>
                </w:p>
              </w:tc>
            </w:tr>
            <w:tr>
              <w:tc>
                <w:tcPr>
                  <w:tcW w:type="dxa" w:w="2056"/>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rPr>
                    <w:t>工业</w:t>
                  </w:r>
                  <w:r>
                    <w:rPr>
                      <w:sz w:val="24"/>
                    </w:rPr>
                    <w:t>AI</w:t>
                  </w:r>
                  <w:r>
                    <w:rPr>
                      <w:sz w:val="24"/>
                    </w:rPr>
                    <w:t>应用场景创新奖</w:t>
                  </w:r>
                </w:p>
              </w:tc>
              <w:tc>
                <w:tcPr>
                  <w:tcW w:type="dxa" w:w="628"/>
                  <w:tcBorders>
                    <w:top w:val="none" w:color="000000" w:sz="4"/>
                    <w:left w:val="none" w:color="000000" w:sz="4"/>
                    <w:bottom w:val="none" w:color="000000" w:sz="4"/>
                    <w:right w:val="single" w:color="000000" w:sz="4"/>
                  </w:tcBorders>
                  <w:tcMar>
                    <w:top w:type="dxa" w:w="0"/>
                    <w:left w:type="dxa" w:w="120"/>
                    <w:bottom w:type="dxa" w:w="0"/>
                    <w:right w:type="dxa" w:w="120"/>
                  </w:tcMar>
                </w:tcPr>
                <w:p>
                  <w:pPr>
                    <w:pStyle w:val="null3"/>
                    <w:jc w:val="center"/>
                  </w:pPr>
                  <w:r>
                    <w:rPr>
                      <w:sz w:val="24"/>
                    </w:rPr>
                    <w:t>5</w:t>
                  </w:r>
                  <w:r>
                    <w:rPr>
                      <w:sz w:val="24"/>
                    </w:rPr>
                    <w:t>万</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9</w:t>
                  </w:r>
                  <w:r>
                    <w:rPr>
                      <w:sz w:val="24"/>
                    </w:rPr>
                    <w:t>名</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r>
              <w:tc>
                <w:tcPr>
                  <w:tcW w:type="dxa" w:w="2056"/>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rPr>
                    <w:t>工业</w:t>
                  </w:r>
                  <w:r>
                    <w:rPr>
                      <w:sz w:val="24"/>
                    </w:rPr>
                    <w:t>AI</w:t>
                  </w:r>
                  <w:r>
                    <w:rPr>
                      <w:sz w:val="24"/>
                    </w:rPr>
                    <w:t>技术创新奖</w:t>
                  </w:r>
                </w:p>
              </w:tc>
              <w:tc>
                <w:tcPr>
                  <w:tcW w:type="dxa" w:w="628"/>
                  <w:tcBorders>
                    <w:top w:val="single" w:color="000000" w:sz="4"/>
                    <w:left w:val="none" w:color="000000" w:sz="4"/>
                    <w:bottom w:val="none" w:color="000000" w:sz="4"/>
                    <w:right w:val="single" w:color="000000" w:sz="4"/>
                  </w:tcBorders>
                  <w:tcMar>
                    <w:top w:type="dxa" w:w="0"/>
                    <w:left w:type="dxa" w:w="120"/>
                    <w:bottom w:type="dxa" w:w="0"/>
                    <w:right w:type="dxa" w:w="120"/>
                  </w:tcMar>
                </w:tcPr>
                <w:p>
                  <w:pPr>
                    <w:pStyle w:val="null3"/>
                    <w:jc w:val="center"/>
                  </w:pPr>
                  <w:r>
                    <w:rPr>
                      <w:sz w:val="24"/>
                    </w:rPr>
                    <w:t>5</w:t>
                  </w:r>
                  <w:r>
                    <w:rPr>
                      <w:sz w:val="24"/>
                    </w:rPr>
                    <w:t>万</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9</w:t>
                  </w:r>
                  <w:r>
                    <w:rPr>
                      <w:sz w:val="24"/>
                    </w:rPr>
                    <w:t>名</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r>
              <w:tc>
                <w:tcPr>
                  <w:tcW w:type="dxa" w:w="2056"/>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rPr>
                    <w:t>工业</w:t>
                  </w:r>
                  <w:r>
                    <w:rPr>
                      <w:sz w:val="24"/>
                    </w:rPr>
                    <w:t>AI</w:t>
                  </w:r>
                  <w:r>
                    <w:rPr>
                      <w:sz w:val="24"/>
                    </w:rPr>
                    <w:t>玉兰奖</w:t>
                  </w:r>
                </w:p>
              </w:tc>
              <w:tc>
                <w:tcPr>
                  <w:tcW w:type="dxa" w:w="628"/>
                  <w:tcBorders>
                    <w:top w:val="single" w:color="000000" w:sz="4"/>
                    <w:left w:val="none" w:color="000000" w:sz="4"/>
                    <w:bottom w:val="none" w:color="000000" w:sz="4"/>
                    <w:right w:val="single" w:color="000000" w:sz="4"/>
                  </w:tcBorders>
                  <w:tcMar>
                    <w:top w:type="dxa" w:w="0"/>
                    <w:left w:type="dxa" w:w="120"/>
                    <w:bottom w:type="dxa" w:w="0"/>
                    <w:right w:type="dxa" w:w="120"/>
                  </w:tcMar>
                </w:tcPr>
                <w:p>
                  <w:pPr>
                    <w:pStyle w:val="null3"/>
                    <w:jc w:val="center"/>
                  </w:pPr>
                  <w:r>
                    <w:rPr>
                      <w:sz w:val="24"/>
                    </w:rPr>
                    <w:t>5</w:t>
                  </w:r>
                  <w:r>
                    <w:rPr>
                      <w:sz w:val="24"/>
                    </w:rPr>
                    <w:t>万</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3</w:t>
                  </w:r>
                  <w:r>
                    <w:rPr>
                      <w:sz w:val="24"/>
                    </w:rPr>
                    <w:t>名</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r>
              <w:tc>
                <w:tcPr>
                  <w:tcW w:type="dxa" w:w="2056"/>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rPr>
                    <w:t>工业</w:t>
                  </w:r>
                  <w:r>
                    <w:rPr>
                      <w:sz w:val="24"/>
                    </w:rPr>
                    <w:t>AI</w:t>
                  </w:r>
                  <w:r>
                    <w:rPr>
                      <w:sz w:val="24"/>
                    </w:rPr>
                    <w:t>优秀奖</w:t>
                  </w:r>
                </w:p>
              </w:tc>
              <w:tc>
                <w:tcPr>
                  <w:tcW w:type="dxa" w:w="628"/>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1</w:t>
                  </w:r>
                  <w:r>
                    <w:rPr>
                      <w:sz w:val="24"/>
                    </w:rPr>
                    <w:t>万</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12</w:t>
                  </w:r>
                  <w:r>
                    <w:rPr>
                      <w:sz w:val="24"/>
                    </w:rPr>
                    <w:t>名</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bl>
          <w:p>
            <w:pPr>
              <w:pStyle w:val="null3"/>
            </w:pPr>
            <w:r>
              <w:rPr>
                <w:sz w:val="24"/>
                <w:b/>
              </w:rPr>
              <w:t>★</w:t>
            </w:r>
            <w:r>
              <w:rPr>
                <w:sz w:val="24"/>
                <w:b/>
              </w:rPr>
              <w:t>（</w:t>
            </w:r>
            <w:r>
              <w:rPr>
                <w:sz w:val="24"/>
                <w:b/>
              </w:rPr>
              <w:t>2</w:t>
            </w:r>
            <w:r>
              <w:rPr>
                <w:sz w:val="24"/>
                <w:b/>
              </w:rPr>
              <w:t>）供应商报价明细须含固定奖金不少于</w:t>
            </w:r>
            <w:r>
              <w:rPr>
                <w:sz w:val="24"/>
                <w:b/>
              </w:rPr>
              <w:t>157</w:t>
            </w:r>
            <w:r>
              <w:rPr>
                <w:sz w:val="24"/>
                <w:b/>
              </w:rPr>
              <w:t>万元，否则视为无效报价。（须提供报价明细，格式不限）</w:t>
            </w:r>
          </w:p>
          <w:p>
            <w:pPr>
              <w:pStyle w:val="null3"/>
            </w:pPr>
            <w:r>
              <w:rPr>
                <w:sz w:val="24"/>
              </w:rPr>
              <w:t>（二）技术力量要求</w:t>
            </w:r>
          </w:p>
          <w:p>
            <w:pPr>
              <w:pStyle w:val="null3"/>
            </w:pPr>
            <w:r>
              <w:rPr>
                <w:sz w:val="24"/>
              </w:rPr>
              <w:t>1</w:t>
            </w:r>
            <w:r>
              <w:rPr>
                <w:sz w:val="24"/>
              </w:rPr>
              <w:t>、成交供应商应具有承办（或作为主体之一参与承办）省市级工业软件相关活动的组织经验，确保大赛承办顺利举行。</w:t>
            </w:r>
          </w:p>
          <w:p>
            <w:pPr>
              <w:pStyle w:val="null3"/>
            </w:pPr>
            <w:r>
              <w:rPr>
                <w:sz w:val="24"/>
              </w:rPr>
              <w:t>2</w:t>
            </w:r>
            <w:r>
              <w:rPr>
                <w:sz w:val="24"/>
              </w:rPr>
              <w:t>、成交供应商应具有工业软件企业、高校、专家库等相关行业资源。</w:t>
            </w:r>
          </w:p>
          <w:p>
            <w:pPr>
              <w:pStyle w:val="null3"/>
            </w:pPr>
            <w:r>
              <w:rPr>
                <w:sz w:val="24"/>
              </w:rPr>
              <w:t>3</w:t>
            </w:r>
            <w:r>
              <w:rPr>
                <w:sz w:val="24"/>
              </w:rPr>
              <w:t>、成交供应商应配备不少于</w:t>
            </w:r>
            <w:r>
              <w:rPr>
                <w:sz w:val="24"/>
              </w:rPr>
              <w:t>5</w:t>
            </w:r>
            <w:r>
              <w:rPr>
                <w:sz w:val="24"/>
              </w:rPr>
              <w:t>名具有</w:t>
            </w:r>
            <w:r>
              <w:rPr>
                <w:sz w:val="24"/>
              </w:rPr>
              <w:t>1</w:t>
            </w:r>
            <w:r>
              <w:rPr>
                <w:sz w:val="24"/>
              </w:rPr>
              <w:t>年以上工业软件领域工作经验以及</w:t>
            </w:r>
            <w:r>
              <w:rPr>
                <w:sz w:val="24"/>
              </w:rPr>
              <w:t>3</w:t>
            </w:r>
            <w:r>
              <w:rPr>
                <w:sz w:val="24"/>
              </w:rPr>
              <w:t>年以上大型活动项目经验、工作责任心强、技术水平高、业务熟练的人员专职参加本项目承办，有满足需要的办公条件和设备设施。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1.采购代理机构：本项目是指广东洲际招标代理有限公司，负责整个采购活动的组织，依法负责编制和发布磋商文件，对磋商文件拥有最终的解释权，不以任何身份出任磋商小组成员。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东莞市工业和信息化局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成交通知书》中规定的成交金额作为收费的计算基数。2、招标代理服务费收费标准根据国家发展和改革委员会文件“发改价格[2011]534号]”及“国家计委[计价格[2002]1980号]文”相关规定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1、本项目中小企业划分标准，其他未列明行业。从业人员300人以下的为中小微型企业。其中，从业人员100人及以上的为中型企业；从业人员10人及以上的为小型企业；从业人员10人以下的为微型企业。 2、远程签名时长，30分钟（远程签名时长不作延长，供应商未参加开标或未在规定时间内确认签字的，视同认可开标结果，不作无效投标处理）。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30分钟（如遇不可抗力等其他特殊情况，采购代理机构可视情况延长解密时间）</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广东洲际招标代理有限公司</w:t>
      </w:r>
      <w:r>
        <w:rPr/>
        <w:t>代收。具体操作要求详见</w:t>
      </w:r>
      <w:r>
        <w:rPr/>
        <w:t>广东洲际招标代理有限公司</w:t>
      </w:r>
      <w:r>
        <w:rPr/>
        <w:t>有关指引，递交事宜请自行咨询</w:t>
      </w:r>
      <w:r>
        <w:rPr/>
        <w:t>广东洲际招标代理有限公司</w:t>
      </w:r>
      <w:r>
        <w:rPr/>
        <w:t>；请各供应商在响应文件递交截止时间前按须知前附表规定的金额递交至</w:t>
      </w:r>
      <w:r>
        <w:rPr/>
        <w:t>广东洲际招标代理有限公司</w:t>
      </w:r>
      <w:r>
        <w:rPr/>
        <w:t>，到账情况以开启时</w:t>
      </w:r>
      <w:r>
        <w:rPr/>
        <w:t>广东洲际招标代理有限公司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娄先生</w:t>
      </w:r>
    </w:p>
    <w:p>
      <w:pPr>
        <w:pStyle w:val="null3"/>
        <w:ind w:firstLine="480"/>
      </w:pPr>
      <w:r>
        <w:rPr/>
        <w:t>电话：</w:t>
      </w:r>
      <w:r>
        <w:rPr/>
        <w:t>0769-23328188</w:t>
      </w:r>
    </w:p>
    <w:p>
      <w:pPr>
        <w:pStyle w:val="null3"/>
        <w:ind w:firstLine="480"/>
      </w:pPr>
      <w:r>
        <w:rPr/>
        <w:t>传真：</w:t>
      </w:r>
      <w:r>
        <w:rPr/>
        <w:t>/</w:t>
      </w:r>
    </w:p>
    <w:p>
      <w:pPr>
        <w:pStyle w:val="null3"/>
        <w:ind w:firstLine="480"/>
      </w:pPr>
      <w:r>
        <w:rPr/>
        <w:t>邮箱：</w:t>
      </w:r>
      <w:r>
        <w:rPr/>
        <w:t>3478473573@qq.com</w:t>
      </w:r>
    </w:p>
    <w:p>
      <w:pPr>
        <w:pStyle w:val="null3"/>
        <w:ind w:firstLine="480"/>
      </w:pPr>
      <w:r>
        <w:rPr/>
        <w:t>地址：</w:t>
      </w:r>
      <w:r>
        <w:rPr/>
        <w:t>东莞市南城区元美路2号财富广场B座13A层08室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第四届工业软件创新应用大赛策划及承办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广东洲际招标代理有限公司</w:t>
      </w:r>
      <w:r>
        <w:rPr/>
        <w:t>统一对外发布。</w:t>
      </w:r>
    </w:p>
    <w:p>
      <w:pPr>
        <w:pStyle w:val="null3"/>
        <w:ind w:firstLine="480"/>
      </w:pPr>
      <w:r>
        <w:rPr/>
        <w:t>（2）对</w:t>
      </w:r>
      <w:r>
        <w:rPr/>
        <w:t>广东洲际招标代理有限公司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采购包1（第四届工业软件创新应用大赛策划及承办服务）：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10%，即：评标价=最后报价×（1-10%）;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采购包1（第四届工业软件创新应用大赛策划及承办服务）：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参照竞争性磋商公告附件资格条件承诺函格式（或自拟格式）提供相关承诺。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参照竞争性磋商公告附件资格条件承诺函格式（或自拟格式）提供相关承诺。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参照竞争性磋商公告附件资格条件承诺函格式（或自拟格式）提供相关承诺。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竞争性磋商公告附件资格条件承诺函格式（或参照响应承诺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响应承诺函相关内容承诺。</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本项目不接受分公司投标（响应）。</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中小企业需符合本项目采购标的对应行业的政策划分标准（其他未列明行业）。【注：1、供应商需提供《中小企业声明函》；2、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w:t>
            </w:r>
          </w:p>
        </w:tc>
      </w:tr>
    </w:tbl>
    <w:p>
      <w:pPr>
        <w:pStyle w:val="null3"/>
        <w:ind w:firstLine="480"/>
      </w:pPr>
      <w:r>
        <w:rPr/>
        <w:t>表二符合性审查表：</w:t>
      </w:r>
    </w:p>
    <w:p>
      <w:pPr>
        <w:pStyle w:val="null3"/>
      </w:pPr>
      <w:r>
        <w:rPr/>
        <w:t>采购包1（第四届工业软件创新应用大赛策划及承办服务）：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最终报价及方案是唯一、固定的，未超出预算金额或最高限价（如有），且满足采购文件要求。</w:t>
            </w:r>
          </w:p>
        </w:tc>
      </w:tr>
      <w:tr>
        <w:tc>
          <w:tcPr>
            <w:tcW w:type="dxa" w:w="890"/>
          </w:tcPr>
          <w:p>
            <w:pPr>
              <w:pStyle w:val="null3"/>
            </w:pPr>
            <w:r>
              <w:rPr/>
              <w:t>2</w:t>
            </w:r>
          </w:p>
        </w:tc>
        <w:tc>
          <w:tcPr>
            <w:tcW w:type="dxa" w:w="3178"/>
          </w:tcPr>
          <w:p>
            <w:pPr>
              <w:pStyle w:val="null3"/>
            </w:pPr>
            <w:r>
              <w:rPr/>
              <w:t>有效期</w:t>
            </w:r>
          </w:p>
        </w:tc>
        <w:tc>
          <w:tcPr>
            <w:tcW w:type="dxa" w:w="4238"/>
          </w:tcPr>
          <w:p>
            <w:pPr>
              <w:pStyle w:val="null3"/>
            </w:pPr>
            <w:r>
              <w:rPr/>
              <w:t>投标（响应）有效期满足采购文件要求。</w:t>
            </w:r>
          </w:p>
        </w:tc>
      </w:tr>
      <w:tr>
        <w:tc>
          <w:tcPr>
            <w:tcW w:type="dxa" w:w="890"/>
          </w:tcPr>
          <w:p>
            <w:pPr>
              <w:pStyle w:val="null3"/>
            </w:pPr>
            <w:r>
              <w:rPr/>
              <w:t>3</w:t>
            </w:r>
          </w:p>
        </w:tc>
        <w:tc>
          <w:tcPr>
            <w:tcW w:type="dxa" w:w="3178"/>
          </w:tcPr>
          <w:p>
            <w:pPr>
              <w:pStyle w:val="null3"/>
            </w:pPr>
            <w:r>
              <w:rPr/>
              <w:t>盖章及签署要求</w:t>
            </w:r>
          </w:p>
        </w:tc>
        <w:tc>
          <w:tcPr>
            <w:tcW w:type="dxa" w:w="4238"/>
          </w:tcPr>
          <w:p>
            <w:pPr>
              <w:pStyle w:val="null3"/>
            </w:pPr>
            <w:r>
              <w:rPr/>
              <w:t>投标（响应）文件的签名和盖章符合要求。</w:t>
            </w:r>
          </w:p>
        </w:tc>
      </w:tr>
      <w:tr>
        <w:tc>
          <w:tcPr>
            <w:tcW w:type="dxa" w:w="890"/>
          </w:tcPr>
          <w:p>
            <w:pPr>
              <w:pStyle w:val="null3"/>
            </w:pPr>
            <w:r>
              <w:rPr/>
              <w:t>4</w:t>
            </w:r>
          </w:p>
        </w:tc>
        <w:tc>
          <w:tcPr>
            <w:tcW w:type="dxa" w:w="3178"/>
          </w:tcPr>
          <w:p>
            <w:pPr>
              <w:pStyle w:val="null3"/>
            </w:pPr>
            <w:r>
              <w:rPr/>
              <w:t>商务要求</w:t>
            </w:r>
          </w:p>
        </w:tc>
        <w:tc>
          <w:tcPr>
            <w:tcW w:type="dxa" w:w="4238"/>
          </w:tcPr>
          <w:p>
            <w:pPr>
              <w:pStyle w:val="null3"/>
            </w:pPr>
            <w:r>
              <w:rPr/>
              <w:t>投标（响应）文件商务部分未出现以下情况：①采购文件商务部分带“★”的条款有 负偏离的；②《商务条件响应表》未按采购文件要求填写；③供应商的报价明显低于其他通过符合性审查供应商的报价，且评标委员会认为有可能影响产品质量或者不能诚信履约的；④其它未实质性响应采购文件商务要求的。</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投标（响应）文件技术部分未出现以下情况：①采购文件技术部分带“★”的条款有负偏离的；②《技术和服务要求响应表》未按采购文件要求填写；③其它未实质性响应采购文件技术要求的。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未出现法律、法规或采购文件中规定投标（响应）无效的其它情形。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采购包1(第四届工业软件创新应用大赛策划及承办服务):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整体策划方案 (15.0分)</w:t>
            </w:r>
            <w:r>
              <w:rPr/>
              <w:t>，（等次分值选择：</w:t>
            </w:r>
            <w:r>
              <w:rPr/>
              <w:t>0.0;</w:t>
            </w:r>
            <w:r>
              <w:rPr/>
              <w:t>3.0;</w:t>
            </w:r>
            <w:r>
              <w:rPr/>
              <w:t>7.0;</w:t>
            </w:r>
            <w:r>
              <w:rPr/>
              <w:t>11.0;</w:t>
            </w:r>
            <w:r>
              <w:rPr/>
              <w:t>15.0;</w:t>
            </w:r>
            <w:r>
              <w:rPr/>
              <w:t>）</w:t>
            </w:r>
          </w:p>
        </w:tc>
        <w:tc>
          <w:tcPr>
            <w:tcW w:type="dxa" w:w="5076"/>
          </w:tcPr>
          <w:p>
            <w:pPr>
              <w:pStyle w:val="null3"/>
              <w:jc w:val="left"/>
            </w:pPr>
            <w:r>
              <w:rPr/>
              <w:t>对供应商根据采购需求“一、项目概况”提供的整体策划方案进行评分： 1）对本次大赛要求理解深刻，准确把握本届大赛意义，与本市制造业数字化转型需求高度结合，方案科学合理、切实可行，得15分； 2）对本次大赛要求理解较为深刻，基本把握本届大赛意义，与本市制造业数字化转型需求结合较为密切，方案可行性较高，得11分； 3）对本次大赛要求有一定的理解，基本把握本届大赛意义，与本市制造业数字化转型需求基本结合，方案合理，具备一定可行性，得7分； 4）对本次大赛要求理解较少或整体方案缺乏合理性，得3分； 注：未提供方案得0分。</w:t>
            </w:r>
          </w:p>
        </w:tc>
      </w:tr>
      <w:tr>
        <w:tc>
          <w:tcPr>
            <w:tcW w:type="dxa" w:w="922"/>
            <w:gridSpan w:val="2"/>
            <w:vMerge/>
          </w:tcPr>
          <w:p/>
        </w:tc>
        <w:tc>
          <w:tcPr>
            <w:tcW w:type="dxa" w:w="2307"/>
          </w:tcPr>
          <w:p>
            <w:pPr>
              <w:pStyle w:val="null3"/>
              <w:jc w:val="left"/>
            </w:pPr>
            <w:r>
              <w:rPr/>
              <w:t>赛事工作计划 (10.0分)</w:t>
            </w:r>
            <w:r>
              <w:rPr/>
              <w:t>，（等次分值选择：</w:t>
            </w:r>
            <w:r>
              <w:rPr/>
              <w:t>0.0;</w:t>
            </w:r>
            <w:r>
              <w:rPr/>
              <w:t>1.0;</w:t>
            </w:r>
            <w:r>
              <w:rPr/>
              <w:t>5.0;</w:t>
            </w:r>
            <w:r>
              <w:rPr/>
              <w:t>10.0;</w:t>
            </w:r>
            <w:r>
              <w:rPr/>
              <w:t>）</w:t>
            </w:r>
          </w:p>
        </w:tc>
        <w:tc>
          <w:tcPr>
            <w:tcW w:type="dxa" w:w="5076"/>
          </w:tcPr>
          <w:p>
            <w:pPr>
              <w:pStyle w:val="null3"/>
              <w:jc w:val="left"/>
            </w:pPr>
            <w:r>
              <w:rPr/>
              <w:t>对供应商根据采购需求“（一）服务内容”中“1、大赛策划”提供的赛事工作计划（包括但不限于议程设置、内容策划、进度及大赛重点把握等）进行评分： 1）赛事工作计划严谨完善，各阶段工作清晰合理，整体进度及大赛重点把握精准得当，操作性强，得 10 分； 2）赛事工作计划基本完整，各阶段工作基本合理，整体进度及大赛重点把握比较得当，具有一定可操作性，得 5分； 3）赛事工作计划一般，或各阶段工作、整体进度及大赛重点把握不够得当，得 1 分； 注：未提供相关工作计划得0分。</w:t>
            </w:r>
          </w:p>
        </w:tc>
      </w:tr>
      <w:tr>
        <w:tc>
          <w:tcPr>
            <w:tcW w:type="dxa" w:w="922"/>
            <w:gridSpan w:val="2"/>
            <w:vMerge/>
          </w:tcPr>
          <w:p/>
        </w:tc>
        <w:tc>
          <w:tcPr>
            <w:tcW w:type="dxa" w:w="2307"/>
          </w:tcPr>
          <w:p>
            <w:pPr>
              <w:pStyle w:val="null3"/>
              <w:jc w:val="left"/>
            </w:pPr>
            <w:r>
              <w:rPr/>
              <w:t>宣传推广方案 (10.0分)</w:t>
            </w:r>
            <w:r>
              <w:rPr/>
              <w:t>，（等次分值选择：</w:t>
            </w:r>
            <w:r>
              <w:rPr/>
              <w:t>0.0;</w:t>
            </w:r>
            <w:r>
              <w:rPr/>
              <w:t>1.0;</w:t>
            </w:r>
            <w:r>
              <w:rPr/>
              <w:t>5.0;</w:t>
            </w:r>
            <w:r>
              <w:rPr/>
              <w:t>10.0;</w:t>
            </w:r>
            <w:r>
              <w:rPr/>
              <w:t>）</w:t>
            </w:r>
          </w:p>
        </w:tc>
        <w:tc>
          <w:tcPr>
            <w:tcW w:type="dxa" w:w="5076"/>
          </w:tcPr>
          <w:p>
            <w:pPr>
              <w:pStyle w:val="null3"/>
              <w:jc w:val="left"/>
            </w:pPr>
            <w:r>
              <w:rPr/>
              <w:t>对供应商根据采购需求“（一）服务内容”中“2、网页/公众号等大赛宣传”提供的宣传推广方案进行评分： 1）宣传推广方案科学完善，能较好地宣传推广本次大赛，整体方案可行性高，得10分； 2）宣传推广方案基本完整，能宣传推广本次大赛，方案具备一定可行性，得5分。 3）宣传推广方案不完整或缺乏合理性，得1分。 注：未提供方案得0分。</w:t>
            </w:r>
          </w:p>
        </w:tc>
      </w:tr>
      <w:tr>
        <w:tc>
          <w:tcPr>
            <w:tcW w:type="dxa" w:w="922"/>
            <w:gridSpan w:val="2"/>
            <w:vMerge/>
          </w:tcPr>
          <w:p/>
        </w:tc>
        <w:tc>
          <w:tcPr>
            <w:tcW w:type="dxa" w:w="2307"/>
          </w:tcPr>
          <w:p>
            <w:pPr>
              <w:pStyle w:val="null3"/>
              <w:jc w:val="left"/>
            </w:pPr>
            <w:r>
              <w:rPr/>
              <w:t>拟邀约工业软件大赛专家资源情况 (10.0分)</w:t>
            </w:r>
          </w:p>
        </w:tc>
        <w:tc>
          <w:tcPr>
            <w:tcW w:type="dxa" w:w="5076"/>
          </w:tcPr>
          <w:p>
            <w:pPr>
              <w:pStyle w:val="null3"/>
              <w:jc w:val="left"/>
            </w:pPr>
            <w:r>
              <w:rPr/>
              <w:t>对供应商拟邀约的工业软件大赛专家资源情况及证明材料进行综合评分： 每邀请一个专家得1分，最高得10分。 注：提供拟邀约专家名单及简历，并提供相关证明材料（如活动合作媒体报道或任命书、行业专业能力、工业软件实战经验、大赛评审经验等），不提供得0分。</w:t>
            </w:r>
          </w:p>
        </w:tc>
      </w:tr>
      <w:tr>
        <w:tc>
          <w:tcPr>
            <w:tcW w:type="dxa" w:w="922"/>
            <w:gridSpan w:val="2"/>
            <w:vMerge/>
          </w:tcPr>
          <w:p/>
        </w:tc>
        <w:tc>
          <w:tcPr>
            <w:tcW w:type="dxa" w:w="2307"/>
          </w:tcPr>
          <w:p>
            <w:pPr>
              <w:pStyle w:val="null3"/>
              <w:jc w:val="left"/>
            </w:pPr>
            <w:r>
              <w:rPr/>
              <w:t>服务承诺 (5.0分)</w:t>
            </w:r>
            <w:r>
              <w:rPr/>
              <w:t>，（等次分值选择：</w:t>
            </w:r>
            <w:r>
              <w:rPr/>
              <w:t>0.0;</w:t>
            </w:r>
            <w:r>
              <w:rPr/>
              <w:t>5.0;</w:t>
            </w:r>
            <w:r>
              <w:rPr/>
              <w:t>）</w:t>
            </w:r>
          </w:p>
        </w:tc>
        <w:tc>
          <w:tcPr>
            <w:tcW w:type="dxa" w:w="5076"/>
          </w:tcPr>
          <w:p>
            <w:pPr>
              <w:pStyle w:val="null3"/>
              <w:jc w:val="left"/>
            </w:pPr>
            <w:r>
              <w:rPr/>
              <w:t>供应商能为采购人提供便捷的服务，大赛执行筹备期间出现复杂情况时，供应商0.5小时内响应，1小时内到达大赛筹委工作组办公地点（东莞市南城区鸿福西路68号塞纳嘉园2层）现场沟通。满足上述要求的得5分，否则得0分。 注：需提供服务响应承诺函（格式不限），否则不得分。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工业软件企业核心资源 (25.0分)</w:t>
            </w:r>
            <w:r>
              <w:rPr/>
              <w:t>，（等次分值选择：</w:t>
            </w:r>
            <w:r>
              <w:rPr/>
              <w:t>0.0;</w:t>
            </w:r>
            <w:r>
              <w:rPr/>
              <w:t>5.0;</w:t>
            </w:r>
            <w:r>
              <w:rPr/>
              <w:t>15.0;</w:t>
            </w:r>
            <w:r>
              <w:rPr/>
              <w:t>25.0;</w:t>
            </w:r>
            <w:r>
              <w:rPr/>
              <w:t>）</w:t>
            </w:r>
          </w:p>
        </w:tc>
        <w:tc>
          <w:tcPr>
            <w:tcW w:type="dxa" w:w="5076"/>
          </w:tcPr>
          <w:p>
            <w:pPr>
              <w:pStyle w:val="null3"/>
              <w:jc w:val="left"/>
            </w:pPr>
            <w:r>
              <w:rPr/>
              <w:t>根据供应商具有的工业软件企业资源情况进行评分（技术领域包括但不限定于材料CAX、芯片EDA、板级EDA（ECAD）、MBSE、CAD、CAE、板级CAM、机加CAM、CAPP、MES、增材制造、工业数据管理、企业资源管理、数据孪生、工业大数据、工业IOT等）： 1）供应商具有全国性工业软件企业资源，覆盖工业软件10个技术领域以上，企业资源数量不少于50家的，得25分； 2) 供应商具有全国性工业软件企业资源，覆盖工业软件5个技术领域以上，企业资源数量不少于25家的，得15分； 3) 供应商具有全国性工业软件企业资源，覆盖工业软件2个技术领域以上，企业资源数量不少于5家的，得5分； 4)其它情况或供应商不具有工业软件企业资源，不得分。 注：供应商须提供具体的工业软件企业资源名单、列明其工业软件所属领域并提供与企业有联系的相关证明作为证明材料，否则不得分。</w:t>
            </w:r>
          </w:p>
        </w:tc>
      </w:tr>
      <w:tr>
        <w:tc>
          <w:tcPr>
            <w:tcW w:type="dxa" w:w="922"/>
            <w:gridSpan w:val="2"/>
            <w:vMerge/>
          </w:tcPr>
          <w:p/>
        </w:tc>
        <w:tc>
          <w:tcPr>
            <w:tcW w:type="dxa" w:w="2307"/>
          </w:tcPr>
          <w:p>
            <w:pPr>
              <w:pStyle w:val="null3"/>
              <w:jc w:val="left"/>
            </w:pPr>
            <w:r>
              <w:rPr/>
              <w:t>工业软件领域活动经验 (10.0分)</w:t>
            </w:r>
            <w:r>
              <w:rPr/>
              <w:t>，（等次分值选择：</w:t>
            </w:r>
            <w:r>
              <w:rPr/>
              <w:t>0.0;</w:t>
            </w:r>
            <w:r>
              <w:rPr/>
              <w:t>5.0;</w:t>
            </w:r>
            <w:r>
              <w:rPr/>
              <w:t>10.0;</w:t>
            </w:r>
            <w:r>
              <w:rPr/>
              <w:t>）</w:t>
            </w:r>
          </w:p>
        </w:tc>
        <w:tc>
          <w:tcPr>
            <w:tcW w:type="dxa" w:w="5076"/>
          </w:tcPr>
          <w:p>
            <w:pPr>
              <w:pStyle w:val="null3"/>
              <w:jc w:val="left"/>
            </w:pPr>
            <w:r>
              <w:rPr/>
              <w:t>供应商自2021年至今（以证明落款时间为准）具有工业软件领域相关活动组织承办经验的，每个得5分，最高得10分。 注：须提供相关活动证明材料（如媒体报道、现场照片等），否则不得分。</w:t>
            </w:r>
          </w:p>
        </w:tc>
      </w:tr>
      <w:tr>
        <w:tc>
          <w:tcPr>
            <w:tcW w:type="dxa" w:w="922"/>
            <w:gridSpan w:val="2"/>
            <w:vMerge/>
          </w:tcPr>
          <w:p/>
        </w:tc>
        <w:tc>
          <w:tcPr>
            <w:tcW w:type="dxa" w:w="2307"/>
          </w:tcPr>
          <w:p>
            <w:pPr>
              <w:pStyle w:val="null3"/>
              <w:jc w:val="left"/>
            </w:pPr>
            <w:r>
              <w:rPr/>
              <w:t>工业软件领域工作经验人员数量 (5.0分)</w:t>
            </w:r>
            <w:r>
              <w:rPr/>
              <w:t>，（等次分值选择：</w:t>
            </w:r>
            <w:r>
              <w:rPr/>
              <w:t>0.0;</w:t>
            </w:r>
            <w:r>
              <w:rPr/>
              <w:t>3.0;</w:t>
            </w:r>
            <w:r>
              <w:rPr/>
              <w:t>5.0;</w:t>
            </w:r>
            <w:r>
              <w:rPr/>
              <w:t>）</w:t>
            </w:r>
          </w:p>
        </w:tc>
        <w:tc>
          <w:tcPr>
            <w:tcW w:type="dxa" w:w="5076"/>
          </w:tcPr>
          <w:p>
            <w:pPr>
              <w:pStyle w:val="null3"/>
              <w:jc w:val="left"/>
            </w:pPr>
            <w:r>
              <w:rPr/>
              <w:t>供应商拟投入人员中含有工业软件领域工作经验(包括但不限于活动、项目等）以及大型活动项目经验人员数量： 1）供应商拟投入人员中含1年以上工业软件领域工作经验以及3年以上大型活动项目经验人员数量不少于5人，得5分； 2) 供应商拟投入人员中含1年以上工业软件领域工作经验及3年以上大型活动项目经验人员数量不少于3人，得3分； 3) 其它情况或供应商拟投入的自有人员中无工业软件领域工作经验及大型活动项目经验人员，不得分； 注：供应商须提供具体的人员名单，列明其在工业软件领域中的工作经验，并提供相关证明（如社保缴纳证明）作为工作经验的证明材料，否则不得分。</w:t>
            </w:r>
          </w:p>
        </w:tc>
      </w:tr>
      <w:tr>
        <w:tc>
          <w:tcPr>
            <w:tcW w:type="dxa" w:w="922"/>
            <w:gridSpan w:val="2"/>
          </w:tcPr>
          <w:p>
            <w:pPr>
              <w:pStyle w:val="null3"/>
              <w:jc w:val="center"/>
            </w:pPr>
            <w:r>
              <w:rPr/>
              <w:t>投标报价</w:t>
            </w:r>
          </w:p>
        </w:tc>
        <w:tc>
          <w:tcPr>
            <w:tcW w:type="dxa" w:w="2307"/>
          </w:tcPr>
          <w:p>
            <w:pPr>
              <w:pStyle w:val="null3"/>
              <w:jc w:val="left"/>
            </w:pPr>
            <w:r>
              <w:rPr/>
              <w:t>报价得分 (10.0分)</w:t>
            </w:r>
          </w:p>
        </w:tc>
        <w:tc>
          <w:tcPr>
            <w:tcW w:type="dxa" w:w="5076"/>
          </w:tcPr>
          <w:p>
            <w:pPr>
              <w:pStyle w:val="null3"/>
              <w:jc w:val="left"/>
            </w:pPr>
            <w:r>
              <w:rPr/>
              <w:t>报价得分＝（评审基准价/投标（响应）报价）×价格分值【注：满足磋商文件要求且价格最低的投标（响应）报价为评审基准价。】最低报价不是成交的唯一依据。因落实政府采购政策进行价格调整的，以调整后的价格计算评审基准价和投标（响应）报价。</w:t>
            </w:r>
          </w:p>
        </w:tc>
      </w:tr>
    </w:tbl>
    <w:p>
      <w:pPr>
        <w:pStyle w:val="null3"/>
        <w:outlineLvl w:val="3"/>
      </w:pPr>
      <w:r>
        <w:rPr>
          <w:sz w:val="24"/>
          <w:b/>
        </w:rPr>
        <w:t>6.汇总、排序</w:t>
      </w:r>
    </w:p>
    <w:p>
      <w:pPr>
        <w:pStyle w:val="null3"/>
      </w:pPr>
      <w:r>
        <w:rPr/>
        <w:t>采购包1：</w:t>
      </w:r>
    </w:p>
    <w:p>
      <w:pPr>
        <w:pStyle w:val="null3"/>
      </w:pPr>
      <w:r>
        <w:rPr/>
        <w:t>（1）磋商小组成员按评审后的综合得分由高到低顺序排列，向采购人推荐3名成交候选人，并编写评审报告。（2）不同 供应商综合得分相同的，按报价由低到高顺序排列。综合得分且报价相同的，按技术部分得分由高到低顺序排列。综合得分、价格及技术得分均相同的，磋商小组成员通过表决，以少数服从多数原则，决定列前成交候选人。（3）磋商小组成员对评审 报告有异议的，应当在评审报告上签署不同意见，并说明理由，否则视为同意评审报告。</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合同书</w:t>
      </w:r>
    </w:p>
    <w:p>
      <w:pPr>
        <w:pStyle w:val="null3"/>
        <w:jc w:val="center"/>
      </w:pPr>
      <w:r>
        <w:rPr/>
        <w:t xml:space="preserve"> </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b/>
        </w:rPr>
        <w:t xml:space="preserve">                           项目名称：</w:t>
      </w:r>
      <w:r>
        <w:rPr>
          <w:sz w:val="24"/>
          <w:b/>
          <w:u w:val="single"/>
        </w:rPr>
        <w:t xml:space="preserve">   工业软件创新应用大赛策划及承办服务合同 </w:t>
      </w:r>
      <w:r>
        <w:rPr>
          <w:sz w:val="24"/>
        </w:rPr>
        <w:t xml:space="preserve">  </w:t>
      </w:r>
    </w:p>
    <w:p>
      <w:pPr>
        <w:pStyle w:val="null3"/>
      </w:pPr>
      <w:r>
        <w:rPr/>
        <w:t xml:space="preserve"> </w:t>
      </w:r>
    </w:p>
    <w:p>
      <w:pPr>
        <w:pStyle w:val="null3"/>
      </w:pPr>
      <w:r>
        <w:rPr>
          <w:sz w:val="24"/>
          <w:b/>
        </w:rPr>
        <w:t xml:space="preserve">                           签约地点：</w:t>
      </w:r>
      <w:r>
        <w:rPr>
          <w:sz w:val="24"/>
          <w:b/>
          <w:u w:val="single"/>
        </w:rPr>
        <w:t xml:space="preserve"> </w:t>
      </w:r>
      <w:r>
        <w:rPr>
          <w:sz w:val="24"/>
          <w:u w:val="single"/>
        </w:rPr>
        <w:t xml:space="preserve">          </w:t>
      </w:r>
      <w:r>
        <w:rPr>
          <w:sz w:val="24"/>
          <w:b/>
          <w:u w:val="single"/>
        </w:rPr>
        <w:t>东莞市</w:t>
      </w:r>
      <w:r>
        <w:rPr>
          <w:sz w:val="24"/>
          <w:u w:val="single"/>
        </w:rPr>
        <w:t xml:space="preserve">   </w:t>
      </w:r>
      <w:r>
        <w:rPr>
          <w:sz w:val="24"/>
          <w:b/>
          <w:u w:val="single"/>
        </w:rPr>
        <w:t xml:space="preserve">       </w:t>
      </w:r>
    </w:p>
    <w:p>
      <w:pPr>
        <w:pStyle w:val="null3"/>
      </w:pPr>
      <w:r>
        <w:rPr/>
        <w:t xml:space="preserve"> </w:t>
      </w:r>
    </w:p>
    <w:p>
      <w:pPr>
        <w:pStyle w:val="null3"/>
      </w:pPr>
      <w:r>
        <w:rPr>
          <w:sz w:val="24"/>
          <w:b/>
        </w:rPr>
        <w:t xml:space="preserve">                           签订日期：二〇二四年  月  日</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538"/>
        <w:jc w:val="center"/>
      </w:pPr>
      <w:r>
        <w:rPr/>
        <w:t xml:space="preserve"> </w:t>
      </w:r>
    </w:p>
    <w:p>
      <w:pPr>
        <w:pStyle w:val="null3"/>
        <w:ind w:firstLine="538"/>
        <w:jc w:val="center"/>
      </w:pPr>
      <w:r>
        <w:rPr/>
        <w:t xml:space="preserve"> </w:t>
      </w:r>
    </w:p>
    <w:p>
      <w:pPr>
        <w:pStyle w:val="null3"/>
        <w:ind w:firstLine="538"/>
        <w:jc w:val="center"/>
      </w:pPr>
      <w:r>
        <w:rPr/>
        <w:t xml:space="preserve"> </w:t>
      </w:r>
    </w:p>
    <w:p>
      <w:pPr>
        <w:pStyle w:val="null3"/>
        <w:ind w:firstLine="538"/>
        <w:jc w:val="center"/>
      </w:pPr>
      <w:r>
        <w:rPr>
          <w:sz w:val="32"/>
          <w:b/>
        </w:rPr>
        <w:t>第四届工业软件创新应用大赛策划及承办服务</w:t>
      </w:r>
      <w:r>
        <w:rPr>
          <w:sz w:val="32"/>
          <w:b/>
        </w:rPr>
        <w:t>合同</w:t>
      </w:r>
    </w:p>
    <w:p>
      <w:pPr>
        <w:pStyle w:val="null3"/>
        <w:ind w:firstLine="578"/>
        <w:jc w:val="center"/>
      </w:pPr>
      <w:r>
        <w:rPr>
          <w:sz w:val="22"/>
        </w:rPr>
        <w:t>甲方：                           联系人：</w:t>
      </w:r>
    </w:p>
    <w:p>
      <w:pPr>
        <w:pStyle w:val="null3"/>
        <w:ind w:firstLine="444"/>
      </w:pPr>
      <w:r>
        <w:rPr>
          <w:sz w:val="22"/>
        </w:rPr>
        <w:t>电话：                           地址：</w:t>
      </w:r>
    </w:p>
    <w:p>
      <w:pPr>
        <w:pStyle w:val="null3"/>
        <w:ind w:firstLine="444"/>
      </w:pPr>
      <w:r>
        <w:rPr>
          <w:sz w:val="22"/>
        </w:rPr>
        <w:t>乙方：                           联系人：</w:t>
      </w:r>
    </w:p>
    <w:p>
      <w:pPr>
        <w:pStyle w:val="null3"/>
        <w:ind w:firstLine="444"/>
      </w:pPr>
      <w:r>
        <w:rPr>
          <w:sz w:val="22"/>
        </w:rPr>
        <w:t>电话：                           地址：</w:t>
      </w:r>
    </w:p>
    <w:p>
      <w:pPr>
        <w:pStyle w:val="null3"/>
        <w:ind w:firstLine="444"/>
      </w:pPr>
      <w:r>
        <w:rPr>
          <w:sz w:val="22"/>
        </w:rPr>
        <w:t>受甲方委托，</w:t>
      </w:r>
      <w:r>
        <w:rPr>
          <w:sz w:val="22"/>
          <w:u w:val="single"/>
        </w:rPr>
        <w:t xml:space="preserve">                    </w:t>
      </w:r>
      <w:r>
        <w:rPr>
          <w:sz w:val="22"/>
        </w:rPr>
        <w:t>(采购代理机构)对</w:t>
      </w:r>
      <w:r>
        <w:rPr>
          <w:sz w:val="22"/>
          <w:u w:val="single"/>
        </w:rPr>
        <w:t xml:space="preserve">             </w:t>
      </w:r>
      <w:r>
        <w:rPr>
          <w:sz w:val="22"/>
        </w:rPr>
        <w:t>采购项目（采购编号为</w:t>
      </w:r>
      <w:r>
        <w:rPr>
          <w:sz w:val="22"/>
          <w:u w:val="single"/>
        </w:rPr>
        <w:t xml:space="preserve">              </w:t>
      </w:r>
      <w:r>
        <w:rPr>
          <w:sz w:val="22"/>
        </w:rPr>
        <w:t>）进行采购，于2024年</w:t>
      </w:r>
      <w:r>
        <w:rPr>
          <w:sz w:val="22"/>
          <w:u w:val="single"/>
        </w:rPr>
        <w:t xml:space="preserve">  </w:t>
      </w:r>
      <w:r>
        <w:rPr>
          <w:sz w:val="22"/>
        </w:rPr>
        <w:t>月</w:t>
      </w:r>
      <w:r>
        <w:rPr>
          <w:sz w:val="22"/>
          <w:u w:val="single"/>
        </w:rPr>
        <w:t xml:space="preserve">  </w:t>
      </w:r>
      <w:r>
        <w:rPr>
          <w:sz w:val="22"/>
        </w:rPr>
        <w:t>日通过竞争性磋商方式进行采购，经磋商小组评定乙方</w:t>
      </w:r>
      <w:r>
        <w:rPr>
          <w:sz w:val="22"/>
          <w:u w:val="single"/>
        </w:rPr>
        <w:t xml:space="preserve">            </w:t>
      </w:r>
      <w:r>
        <w:rPr>
          <w:sz w:val="22"/>
        </w:rPr>
        <w:t>为该项目的成交供应商。</w:t>
      </w:r>
    </w:p>
    <w:p>
      <w:pPr>
        <w:pStyle w:val="null3"/>
        <w:ind w:firstLine="488"/>
      </w:pPr>
      <w:r>
        <w:rPr>
          <w:sz w:val="22"/>
        </w:rPr>
        <w:t>为了保护甲乙双方合法权益，根据《中华人民共和国政府采购法》及其实施条例、《中华人民共和国民法典》，在平等自愿的基础上，按照下面的条款和条件，签署本合同。</w:t>
      </w:r>
    </w:p>
    <w:p>
      <w:pPr>
        <w:pStyle w:val="null3"/>
        <w:ind w:firstLine="442"/>
      </w:pPr>
      <w:r>
        <w:rPr>
          <w:sz w:val="22"/>
          <w:b/>
        </w:rPr>
        <w:t xml:space="preserve">第一条 </w:t>
      </w:r>
      <w:r>
        <w:rPr>
          <w:sz w:val="22"/>
        </w:rPr>
        <w:t>项目名称：</w:t>
      </w:r>
      <w:r>
        <w:rPr>
          <w:sz w:val="22"/>
          <w:u w:val="single"/>
        </w:rPr>
        <w:t xml:space="preserve"> </w:t>
      </w:r>
      <w:r>
        <w:rPr>
          <w:sz w:val="22"/>
          <w:u w:val="single"/>
        </w:rPr>
        <w:t xml:space="preserve">                            </w:t>
      </w:r>
      <w:r>
        <w:rPr>
          <w:sz w:val="22"/>
          <w:u w:val="single"/>
        </w:rPr>
        <w:t xml:space="preserve">               </w:t>
      </w:r>
    </w:p>
    <w:p>
      <w:pPr>
        <w:pStyle w:val="null3"/>
        <w:ind w:firstLine="442"/>
      </w:pPr>
      <w:r>
        <w:rPr>
          <w:sz w:val="22"/>
          <w:b/>
        </w:rPr>
        <w:t xml:space="preserve">第二条 </w:t>
      </w:r>
      <w:r>
        <w:rPr>
          <w:sz w:val="22"/>
        </w:rPr>
        <w:t>服务地点：</w:t>
      </w:r>
      <w:r>
        <w:rPr>
          <w:sz w:val="22"/>
          <w:u w:val="single"/>
        </w:rPr>
        <w:t xml:space="preserve">                                            </w:t>
      </w:r>
      <w:r>
        <w:rPr>
          <w:sz w:val="22"/>
        </w:rPr>
        <w:t xml:space="preserve">           </w:t>
      </w:r>
    </w:p>
    <w:p>
      <w:pPr>
        <w:pStyle w:val="null3"/>
        <w:ind w:firstLine="442"/>
      </w:pPr>
      <w:r>
        <w:rPr>
          <w:sz w:val="22"/>
          <w:b/>
        </w:rPr>
        <w:t xml:space="preserve">第三条 </w:t>
      </w:r>
      <w:r>
        <w:rPr>
          <w:sz w:val="22"/>
        </w:rPr>
        <w:t>服务期：</w:t>
      </w:r>
      <w:r>
        <w:rPr>
          <w:sz w:val="22"/>
          <w:u w:val="single"/>
        </w:rPr>
        <w:t>自签订合同之日起，至本次大赛所有活动结束，并通过项目验收之日止。如因政策变化或其他不可抗力的因素造成大赛不能按时进行，可酌情顺延。</w:t>
      </w:r>
    </w:p>
    <w:p>
      <w:pPr>
        <w:pStyle w:val="null3"/>
        <w:ind w:firstLine="442"/>
      </w:pPr>
      <w:r>
        <w:rPr>
          <w:sz w:val="22"/>
          <w:b/>
        </w:rPr>
        <w:t xml:space="preserve">第四条 </w:t>
      </w:r>
      <w:r>
        <w:rPr>
          <w:sz w:val="22"/>
        </w:rPr>
        <w:t>合同费用：人民币大写：</w:t>
      </w:r>
      <w:r>
        <w:rPr>
          <w:sz w:val="22"/>
          <w:u w:val="single"/>
        </w:rPr>
        <w:t xml:space="preserve">             </w:t>
      </w:r>
      <w:r>
        <w:rPr>
          <w:sz w:val="22"/>
        </w:rPr>
        <w:t>（¥</w:t>
      </w:r>
      <w:r>
        <w:rPr>
          <w:sz w:val="22"/>
          <w:u w:val="single"/>
        </w:rPr>
        <w:t xml:space="preserve">          </w:t>
      </w:r>
      <w:r>
        <w:rPr>
          <w:sz w:val="22"/>
        </w:rPr>
        <w:t>元）含税，其中包含大赛奖金</w:t>
      </w:r>
      <w:r>
        <w:rPr>
          <w:sz w:val="22"/>
          <w:u w:val="single"/>
        </w:rPr>
        <w:t xml:space="preserve">      </w:t>
      </w:r>
      <w:r>
        <w:rPr>
          <w:sz w:val="22"/>
        </w:rPr>
        <w:t>万元。</w:t>
      </w:r>
    </w:p>
    <w:p>
      <w:pPr>
        <w:pStyle w:val="null3"/>
        <w:spacing w:before="30" w:after="30"/>
        <w:ind w:firstLine="420"/>
        <w:jc w:val="both"/>
      </w:pPr>
      <w:r>
        <w:rPr>
          <w:sz w:val="21"/>
          <w:b/>
        </w:rPr>
        <w:t xml:space="preserve">第五条 </w:t>
      </w:r>
      <w:r>
        <w:rPr>
          <w:sz w:val="21"/>
        </w:rPr>
        <w:t>项目主要内容</w:t>
      </w:r>
    </w:p>
    <w:p>
      <w:pPr>
        <w:pStyle w:val="null3"/>
        <w:ind w:firstLine="442"/>
      </w:pPr>
      <w:r>
        <w:rPr>
          <w:sz w:val="22"/>
          <w:b/>
        </w:rPr>
        <w:t>一、授权</w:t>
      </w:r>
      <w:r>
        <w:rPr>
          <w:sz w:val="22"/>
          <w:b/>
        </w:rPr>
        <w:t>筹办</w:t>
      </w:r>
    </w:p>
    <w:p>
      <w:pPr>
        <w:pStyle w:val="null3"/>
        <w:ind w:firstLine="440"/>
      </w:pPr>
      <w:r>
        <w:rPr>
          <w:sz w:val="22"/>
        </w:rPr>
        <w:t>甲方同意授权乙方为 “第四届工业软件创新应用大赛”筹办供应商，全权负责筹办本赛事策划、设计、宣传推广、组织落实等事宜。</w:t>
      </w:r>
    </w:p>
    <w:p>
      <w:pPr>
        <w:pStyle w:val="null3"/>
        <w:ind w:firstLine="442"/>
      </w:pPr>
      <w:r>
        <w:rPr>
          <w:sz w:val="22"/>
          <w:b/>
        </w:rPr>
        <w:t>二、大赛具体内容及主要目标要求</w:t>
      </w:r>
    </w:p>
    <w:p>
      <w:pPr>
        <w:pStyle w:val="null3"/>
        <w:ind w:firstLine="440"/>
      </w:pPr>
      <w:r>
        <w:rPr>
          <w:sz w:val="22"/>
        </w:rPr>
        <w:t>乙方承办大赛应按时按质完成以下具体内容：</w:t>
      </w:r>
    </w:p>
    <w:p>
      <w:pPr>
        <w:pStyle w:val="null3"/>
        <w:ind w:firstLine="440"/>
      </w:pPr>
      <w:r>
        <w:rPr>
          <w:sz w:val="22"/>
        </w:rPr>
        <w:t>1、大赛策划</w:t>
      </w:r>
    </w:p>
    <w:p>
      <w:pPr>
        <w:pStyle w:val="null3"/>
        <w:ind w:firstLine="440"/>
      </w:pPr>
      <w:r>
        <w:rPr>
          <w:sz w:val="22"/>
        </w:rPr>
        <w:t>（1）负责总体赛事执行方案的制定及完善，内容包括各赛事计划（赛事预热、赛事启动、作品征集、初赛评审、决赛评审、颁奖典礼（含产业交流）六个阶段）与实施保障（工作小组、专家顾问、技术支持、合作资源等）。成交供应商须在活动前提交总体赛事策划方案，明确赛事时间进度计划及执行方案，严格按照赛事计划认真组织落实。各方案及计划须得到采购人认可后方可实施。</w:t>
      </w:r>
    </w:p>
    <w:p>
      <w:pPr>
        <w:pStyle w:val="null3"/>
        <w:ind w:firstLine="440"/>
      </w:pPr>
      <w:r>
        <w:rPr>
          <w:sz w:val="22"/>
        </w:rPr>
        <w:t>（2）大赛目标：组织工业软件创新应用大赛，作品征集要求必须是应用于工业场景各业务范围环节，结合人工智能技术创新实践的产品或解决方案等，整个赛事参赛作品数量不少于50份。</w:t>
      </w:r>
    </w:p>
    <w:p>
      <w:pPr>
        <w:pStyle w:val="null3"/>
        <w:ind w:firstLine="440"/>
      </w:pPr>
      <w:r>
        <w:rPr>
          <w:sz w:val="22"/>
        </w:rPr>
        <w:t>2、网页/公众号等大赛宣传</w:t>
      </w:r>
    </w:p>
    <w:p>
      <w:pPr>
        <w:pStyle w:val="null3"/>
        <w:ind w:firstLine="440"/>
      </w:pPr>
      <w:r>
        <w:rPr>
          <w:sz w:val="22"/>
        </w:rPr>
        <w:t>（1）宣传推进步骤</w:t>
      </w:r>
    </w:p>
    <w:p>
      <w:pPr>
        <w:pStyle w:val="null3"/>
        <w:ind w:firstLine="440"/>
      </w:pPr>
      <w:r>
        <w:rPr>
          <w:sz w:val="22"/>
        </w:rPr>
        <w:t>①前期预热阶段：线上发布大赛启动信息，同时在线下举办启动仪式。</w:t>
      </w:r>
    </w:p>
    <w:p>
      <w:pPr>
        <w:pStyle w:val="null3"/>
        <w:ind w:firstLine="440"/>
      </w:pPr>
      <w:r>
        <w:rPr>
          <w:sz w:val="22"/>
        </w:rPr>
        <w:t>②赛事进行阶段：实时更新大赛进展。</w:t>
      </w:r>
    </w:p>
    <w:p>
      <w:pPr>
        <w:pStyle w:val="null3"/>
        <w:ind w:firstLine="440"/>
      </w:pPr>
      <w:r>
        <w:rPr>
          <w:sz w:val="22"/>
        </w:rPr>
        <w:t>③颁奖阶段：举办颁奖盛会，邀请市领导、产学研用重磅嘉宾出席，并全方位报道大赛盛况，展示优秀获奖作品。</w:t>
      </w:r>
    </w:p>
    <w:p>
      <w:pPr>
        <w:pStyle w:val="null3"/>
        <w:ind w:firstLine="440"/>
      </w:pPr>
      <w:r>
        <w:rPr>
          <w:sz w:val="22"/>
        </w:rPr>
        <w:t>④成果转化培育阶段（11月）：总结大赛成果，通过各渠道进行大范围展示推广；同时举办供需对接及产业交流等活动，促进优秀项目孵化。</w:t>
      </w:r>
    </w:p>
    <w:p>
      <w:pPr>
        <w:pStyle w:val="null3"/>
        <w:ind w:firstLine="440"/>
      </w:pPr>
      <w:r>
        <w:rPr>
          <w:sz w:val="22"/>
        </w:rPr>
        <w:t>（2）渠道宣传</w:t>
      </w:r>
    </w:p>
    <w:p>
      <w:pPr>
        <w:pStyle w:val="null3"/>
        <w:ind w:firstLine="440"/>
      </w:pPr>
      <w:r>
        <w:rPr>
          <w:sz w:val="22"/>
        </w:rPr>
        <w:t>①政府推广渠道：通过政府相关部门以及下属机构公开广泛传播。</w:t>
      </w:r>
    </w:p>
    <w:p>
      <w:pPr>
        <w:pStyle w:val="null3"/>
        <w:ind w:firstLine="440"/>
      </w:pPr>
      <w:r>
        <w:rPr>
          <w:sz w:val="22"/>
        </w:rPr>
        <w:t>②合作伙伴渠道：通过多方合作单位推介大赛，提升社会品牌影响力。</w:t>
      </w:r>
    </w:p>
    <w:p>
      <w:pPr>
        <w:pStyle w:val="null3"/>
        <w:ind w:firstLine="440"/>
      </w:pPr>
      <w:r>
        <w:rPr>
          <w:sz w:val="22"/>
        </w:rPr>
        <w:t>③媒体渠道：联系全国重点主流媒体及行业垂直媒体全程报道大赛动态，宣传大赛主题活动的进展，并集中报道大赛盛况。</w:t>
      </w:r>
    </w:p>
    <w:p>
      <w:pPr>
        <w:pStyle w:val="null3"/>
        <w:ind w:firstLine="440"/>
      </w:pPr>
      <w:r>
        <w:rPr>
          <w:sz w:val="22"/>
        </w:rPr>
        <w:t>3、作品征集</w:t>
      </w:r>
    </w:p>
    <w:p>
      <w:pPr>
        <w:pStyle w:val="null3"/>
        <w:ind w:firstLine="440"/>
      </w:pPr>
      <w:r>
        <w:rPr>
          <w:sz w:val="22"/>
        </w:rPr>
        <w:t>广泛发布大赛信息，多渠道多模式征集作品，完成大赛指标。</w:t>
      </w:r>
    </w:p>
    <w:p>
      <w:pPr>
        <w:pStyle w:val="null3"/>
        <w:ind w:firstLine="440"/>
      </w:pPr>
      <w:r>
        <w:rPr>
          <w:sz w:val="22"/>
        </w:rPr>
        <w:t>4、评审工作</w:t>
      </w:r>
    </w:p>
    <w:p>
      <w:pPr>
        <w:pStyle w:val="null3"/>
        <w:ind w:firstLine="440"/>
      </w:pPr>
      <w:r>
        <w:rPr>
          <w:sz w:val="22"/>
        </w:rPr>
        <w:t>（1）负责制定合理的评审标准，以“公平、公正、公开”的原则，组织大赛的评审。</w:t>
      </w:r>
    </w:p>
    <w:p>
      <w:pPr>
        <w:pStyle w:val="null3"/>
        <w:ind w:firstLine="440"/>
      </w:pPr>
      <w:r>
        <w:rPr>
          <w:sz w:val="22"/>
        </w:rPr>
        <w:t>（2）组建大赛评委会，专家评审人数不少于8人，包括但不限于院校专家、企业技术专家、行业顾问等。</w:t>
      </w:r>
    </w:p>
    <w:p>
      <w:pPr>
        <w:pStyle w:val="null3"/>
        <w:ind w:firstLine="440"/>
      </w:pPr>
      <w:r>
        <w:rPr>
          <w:sz w:val="22"/>
        </w:rPr>
        <w:t>（3）负责组织赛事的评审工作，包括专家邀请及接待，评审场地布置、现场组织与协助，评审结果统计与公布，参赛选手联络等。</w:t>
      </w:r>
    </w:p>
    <w:p>
      <w:pPr>
        <w:pStyle w:val="null3"/>
        <w:ind w:firstLine="440"/>
      </w:pPr>
      <w:r>
        <w:rPr>
          <w:sz w:val="22"/>
        </w:rPr>
        <w:t>5、启动仪式</w:t>
      </w:r>
    </w:p>
    <w:p>
      <w:pPr>
        <w:pStyle w:val="null3"/>
        <w:ind w:firstLine="440"/>
      </w:pPr>
      <w:r>
        <w:rPr>
          <w:sz w:val="22"/>
        </w:rPr>
        <w:t>（1）负责启动仪式部分现场物料、嘉宾接待、会务接待等工作。</w:t>
      </w:r>
    </w:p>
    <w:p>
      <w:pPr>
        <w:pStyle w:val="null3"/>
        <w:ind w:firstLine="440"/>
      </w:pPr>
      <w:r>
        <w:rPr>
          <w:sz w:val="22"/>
        </w:rPr>
        <w:t>（2）启动仪式现场将邀请市领导相关部门负责人、协办单位与支持单位负责人、媒体代表和目标参赛企业代表参加，乙方负责组织协调相关对接工作。</w:t>
      </w:r>
    </w:p>
    <w:p>
      <w:pPr>
        <w:pStyle w:val="null3"/>
        <w:ind w:firstLine="440"/>
      </w:pPr>
      <w:r>
        <w:rPr>
          <w:sz w:val="22"/>
        </w:rPr>
        <w:t>6、颁奖典礼及优秀作品展示</w:t>
      </w:r>
    </w:p>
    <w:p>
      <w:pPr>
        <w:pStyle w:val="null3"/>
        <w:ind w:firstLine="440"/>
      </w:pPr>
      <w:r>
        <w:rPr>
          <w:sz w:val="22"/>
        </w:rPr>
        <w:t>（1）乙方负责颁奖典礼场地租赁、场地搭建、现场物料、嘉宾接待、会务接待等工作。</w:t>
      </w:r>
    </w:p>
    <w:p>
      <w:pPr>
        <w:pStyle w:val="null3"/>
        <w:ind w:firstLine="440"/>
      </w:pPr>
      <w:r>
        <w:rPr>
          <w:sz w:val="22"/>
        </w:rPr>
        <w:t>（2）颁奖典礼现场将邀请省领导、市领导相关部门负责人、协办单位与支持单位负责人、媒体代表和获奖代表参加，乙方负责组织协调相关对接工作。</w:t>
      </w:r>
    </w:p>
    <w:p>
      <w:pPr>
        <w:pStyle w:val="null3"/>
        <w:ind w:firstLine="440"/>
      </w:pPr>
      <w:r>
        <w:rPr>
          <w:sz w:val="22"/>
        </w:rPr>
        <w:t>（3）乙方负责组织产业交流活动，积极引导优秀企业来东莞落地转化。</w:t>
      </w:r>
    </w:p>
    <w:p>
      <w:pPr>
        <w:pStyle w:val="null3"/>
        <w:ind w:firstLine="440"/>
      </w:pPr>
      <w:r>
        <w:rPr>
          <w:sz w:val="22"/>
        </w:rPr>
        <w:t>7、奖金</w:t>
      </w:r>
    </w:p>
    <w:p>
      <w:pPr>
        <w:pStyle w:val="null3"/>
        <w:ind w:firstLine="440"/>
      </w:pPr>
      <w:r>
        <w:rPr>
          <w:sz w:val="22"/>
        </w:rPr>
        <w:t>（1）本次大赛设奖金总额不低于157万元，计划设置突出贡献奖、应用场景创新奖、技术创新奖、玉兰奖以及优秀奖。</w:t>
      </w:r>
    </w:p>
    <w:p>
      <w:pPr>
        <w:pStyle w:val="null3"/>
        <w:ind w:firstLine="440"/>
      </w:pPr>
      <w:r>
        <w:rPr>
          <w:sz w:val="22"/>
        </w:rPr>
        <w:t>（注：如因参赛作品未达到主办方、评审专家组或组委会要求，突出贡献奖允许存在空缺情况。经评审专家组讨论并出具意见后，空缺奖金可用于临时增设应用场景创新奖及技术创新奖各4名，根据决赛成绩排序产生。）</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3051"/>
        <w:gridCol w:w="932"/>
        <w:gridCol w:w="932"/>
        <w:gridCol w:w="3390"/>
      </w:tblGrid>
      <w:tr>
        <w:tc>
          <w:tcPr>
            <w:tcW w:type="dxa" w:w="3051"/>
            <w:tcBorders>
              <w:top w:val="singl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2"/>
                <w:b/>
              </w:rPr>
              <w:t>奖项</w:t>
            </w:r>
          </w:p>
        </w:tc>
        <w:tc>
          <w:tcPr>
            <w:tcW w:type="dxa" w:w="932"/>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b/>
              </w:rPr>
              <w:t>奖金</w:t>
            </w:r>
          </w:p>
        </w:tc>
        <w:tc>
          <w:tcPr>
            <w:tcW w:type="dxa" w:w="932"/>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b/>
              </w:rPr>
              <w:t>数量</w:t>
            </w:r>
          </w:p>
        </w:tc>
        <w:tc>
          <w:tcPr>
            <w:tcW w:type="dxa" w:w="3390"/>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b/>
              </w:rPr>
              <w:t>说明</w:t>
            </w:r>
          </w:p>
        </w:tc>
      </w:tr>
      <w:tr>
        <w:tc>
          <w:tcPr>
            <w:tcW w:type="dxa" w:w="3051"/>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2"/>
              </w:rPr>
              <w:t>工业AI突出贡献奖</w:t>
            </w:r>
          </w:p>
        </w:tc>
        <w:tc>
          <w:tcPr>
            <w:tcW w:type="dxa" w:w="932"/>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rPr>
              <w:t>40万</w:t>
            </w:r>
          </w:p>
        </w:tc>
        <w:tc>
          <w:tcPr>
            <w:tcW w:type="dxa" w:w="932"/>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rPr>
              <w:t>1名</w:t>
            </w:r>
          </w:p>
        </w:tc>
        <w:tc>
          <w:tcPr>
            <w:tcW w:type="dxa" w:w="3390"/>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pPr>
            <w:r>
              <w:rPr>
                <w:sz w:val="22"/>
              </w:rPr>
              <w:t>如发生空缺，则改为增设应用场景创新奖及技术创新奖各4名。</w:t>
            </w:r>
          </w:p>
        </w:tc>
      </w:tr>
      <w:tr>
        <w:tc>
          <w:tcPr>
            <w:tcW w:type="dxa" w:w="3051"/>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2"/>
              </w:rPr>
              <w:t>工业AI应用场景创新奖</w:t>
            </w:r>
          </w:p>
        </w:tc>
        <w:tc>
          <w:tcPr>
            <w:tcW w:type="dxa" w:w="932"/>
            <w:tcBorders>
              <w:top w:val="none" w:color="000000" w:sz="4"/>
              <w:left w:val="none" w:color="000000" w:sz="4"/>
              <w:bottom w:val="none" w:color="000000" w:sz="4"/>
              <w:right w:val="single" w:color="000000" w:sz="4"/>
            </w:tcBorders>
            <w:tcMar>
              <w:top w:type="dxa" w:w="0"/>
              <w:left w:type="dxa" w:w="120"/>
              <w:bottom w:type="dxa" w:w="0"/>
              <w:right w:type="dxa" w:w="120"/>
            </w:tcMar>
          </w:tcPr>
          <w:p>
            <w:pPr>
              <w:pStyle w:val="null3"/>
              <w:jc w:val="center"/>
            </w:pPr>
            <w:r>
              <w:rPr>
                <w:sz w:val="22"/>
              </w:rPr>
              <w:t>5万</w:t>
            </w:r>
          </w:p>
        </w:tc>
        <w:tc>
          <w:tcPr>
            <w:tcW w:type="dxa" w:w="932"/>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rPr>
              <w:t>9名</w:t>
            </w:r>
          </w:p>
        </w:tc>
        <w:tc>
          <w:tcPr>
            <w:tcW w:type="dxa" w:w="3390"/>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r>
        <w:tc>
          <w:tcPr>
            <w:tcW w:type="dxa" w:w="3051"/>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2"/>
              </w:rPr>
              <w:t>工业AI技术创新奖</w:t>
            </w:r>
          </w:p>
        </w:tc>
        <w:tc>
          <w:tcPr>
            <w:tcW w:type="dxa" w:w="932"/>
            <w:tcBorders>
              <w:top w:val="single" w:color="000000" w:sz="4"/>
              <w:left w:val="none" w:color="000000" w:sz="4"/>
              <w:bottom w:val="none" w:color="000000" w:sz="4"/>
              <w:right w:val="single" w:color="000000" w:sz="4"/>
            </w:tcBorders>
            <w:tcMar>
              <w:top w:type="dxa" w:w="0"/>
              <w:left w:type="dxa" w:w="120"/>
              <w:bottom w:type="dxa" w:w="0"/>
              <w:right w:type="dxa" w:w="120"/>
            </w:tcMar>
          </w:tcPr>
          <w:p>
            <w:pPr>
              <w:pStyle w:val="null3"/>
              <w:jc w:val="center"/>
            </w:pPr>
            <w:r>
              <w:rPr>
                <w:sz w:val="22"/>
              </w:rPr>
              <w:t>5万</w:t>
            </w:r>
          </w:p>
        </w:tc>
        <w:tc>
          <w:tcPr>
            <w:tcW w:type="dxa" w:w="932"/>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rPr>
              <w:t>9名</w:t>
            </w:r>
          </w:p>
        </w:tc>
        <w:tc>
          <w:tcPr>
            <w:tcW w:type="dxa" w:w="3390"/>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r>
        <w:tc>
          <w:tcPr>
            <w:tcW w:type="dxa" w:w="3051"/>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2"/>
              </w:rPr>
              <w:t>工业AI玉兰奖</w:t>
            </w:r>
          </w:p>
        </w:tc>
        <w:tc>
          <w:tcPr>
            <w:tcW w:type="dxa" w:w="932"/>
            <w:tcBorders>
              <w:top w:val="single" w:color="000000" w:sz="4"/>
              <w:left w:val="none" w:color="000000" w:sz="4"/>
              <w:bottom w:val="none" w:color="000000" w:sz="4"/>
              <w:right w:val="single" w:color="000000" w:sz="4"/>
            </w:tcBorders>
            <w:tcMar>
              <w:top w:type="dxa" w:w="0"/>
              <w:left w:type="dxa" w:w="120"/>
              <w:bottom w:type="dxa" w:w="0"/>
              <w:right w:type="dxa" w:w="120"/>
            </w:tcMar>
          </w:tcPr>
          <w:p>
            <w:pPr>
              <w:pStyle w:val="null3"/>
              <w:jc w:val="center"/>
            </w:pPr>
            <w:r>
              <w:rPr>
                <w:sz w:val="22"/>
              </w:rPr>
              <w:t>5万</w:t>
            </w:r>
          </w:p>
        </w:tc>
        <w:tc>
          <w:tcPr>
            <w:tcW w:type="dxa" w:w="932"/>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rPr>
              <w:t>3名</w:t>
            </w:r>
          </w:p>
        </w:tc>
        <w:tc>
          <w:tcPr>
            <w:tcW w:type="dxa" w:w="3390"/>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r>
        <w:tc>
          <w:tcPr>
            <w:tcW w:type="dxa" w:w="3051"/>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2"/>
              </w:rPr>
              <w:t>工业AI优秀奖</w:t>
            </w:r>
          </w:p>
        </w:tc>
        <w:tc>
          <w:tcPr>
            <w:tcW w:type="dxa" w:w="932"/>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rPr>
              <w:t>1万</w:t>
            </w:r>
          </w:p>
        </w:tc>
        <w:tc>
          <w:tcPr>
            <w:tcW w:type="dxa" w:w="932"/>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2"/>
              </w:rPr>
              <w:t>12名</w:t>
            </w:r>
          </w:p>
        </w:tc>
        <w:tc>
          <w:tcPr>
            <w:tcW w:type="dxa" w:w="3390"/>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p>
        </w:tc>
      </w:tr>
    </w:tbl>
    <w:p>
      <w:pPr>
        <w:pStyle w:val="null3"/>
      </w:pPr>
      <w:r>
        <w:rPr>
          <w:sz w:val="22"/>
          <w:b/>
        </w:rPr>
        <w:t xml:space="preserve">第六条 </w:t>
      </w:r>
      <w:r>
        <w:rPr>
          <w:sz w:val="22"/>
        </w:rPr>
        <w:t>结算方式</w:t>
      </w:r>
    </w:p>
    <w:p>
      <w:pPr>
        <w:pStyle w:val="null3"/>
        <w:ind w:firstLine="440"/>
      </w:pPr>
      <w:r>
        <w:rPr>
          <w:sz w:val="22"/>
        </w:rPr>
        <w:t xml:space="preserve">1、付款方式：                                                             </w:t>
      </w:r>
    </w:p>
    <w:p>
      <w:pPr>
        <w:pStyle w:val="null3"/>
        <w:ind w:firstLine="440"/>
      </w:pPr>
      <w:r>
        <w:rPr>
          <w:sz w:val="22"/>
        </w:rPr>
        <w:t xml:space="preserve">（1）签订合同后15个工作日内，甲方向乙方支付合同金额的40%；          </w:t>
      </w:r>
    </w:p>
    <w:p>
      <w:pPr>
        <w:pStyle w:val="null3"/>
        <w:ind w:firstLine="440"/>
      </w:pPr>
      <w:r>
        <w:rPr>
          <w:sz w:val="22"/>
        </w:rPr>
        <w:t xml:space="preserve">（2）举办大赛决赛前15个工作日内，甲方向乙方支付合同金额的50%；      </w:t>
      </w:r>
    </w:p>
    <w:p>
      <w:pPr>
        <w:pStyle w:val="null3"/>
        <w:ind w:firstLine="440"/>
      </w:pPr>
      <w:r>
        <w:rPr>
          <w:sz w:val="22"/>
        </w:rPr>
        <w:t xml:space="preserve">（3）活动完成后15个工作日内，甲方向乙方支付合同金额的10%。          </w:t>
      </w:r>
    </w:p>
    <w:p>
      <w:pPr>
        <w:pStyle w:val="null3"/>
        <w:ind w:firstLine="440"/>
      </w:pPr>
      <w:r>
        <w:rPr>
          <w:sz w:val="22"/>
        </w:rPr>
        <w:t>2、乙方收款信息如下：</w:t>
      </w:r>
    </w:p>
    <w:p>
      <w:pPr>
        <w:pStyle w:val="null3"/>
        <w:ind w:firstLine="440"/>
      </w:pPr>
      <w:r>
        <w:rPr>
          <w:sz w:val="22"/>
        </w:rPr>
        <w:t>开户名称：</w:t>
      </w:r>
    </w:p>
    <w:p>
      <w:pPr>
        <w:pStyle w:val="null3"/>
        <w:ind w:firstLine="440"/>
      </w:pPr>
      <w:r>
        <w:rPr>
          <w:sz w:val="22"/>
        </w:rPr>
        <w:t>开户银行：</w:t>
      </w:r>
    </w:p>
    <w:p>
      <w:pPr>
        <w:pStyle w:val="null3"/>
        <w:ind w:firstLine="440"/>
      </w:pPr>
      <w:r>
        <w:rPr>
          <w:sz w:val="22"/>
        </w:rPr>
        <w:t>银行账号：</w:t>
      </w:r>
    </w:p>
    <w:p>
      <w:pPr>
        <w:pStyle w:val="null3"/>
        <w:ind w:left="450"/>
      </w:pPr>
      <w:r>
        <w:rPr>
          <w:sz w:val="22"/>
        </w:rPr>
        <w:t>3、本项目的每笔款项均以人民币方式支付，支付的所需文件如下：</w:t>
      </w:r>
    </w:p>
    <w:p>
      <w:pPr>
        <w:pStyle w:val="null3"/>
        <w:ind w:firstLine="440"/>
      </w:pPr>
      <w:r>
        <w:rPr>
          <w:sz w:val="22"/>
        </w:rPr>
        <w:t>（1）合同；（2）等额增值税专用发票。</w:t>
      </w:r>
    </w:p>
    <w:p>
      <w:pPr>
        <w:pStyle w:val="null3"/>
        <w:ind w:left="450"/>
      </w:pPr>
      <w:r>
        <w:rPr>
          <w:sz w:val="22"/>
        </w:rPr>
        <w:t>4、如该服务是通过财政付款的，则上述约定的付款期间不包括财政审批期间。如因乙方提交的发票不符合规定或或因财政拨款延迟等原因，导致甲方付款时间延迟的，不构成违约。</w:t>
      </w:r>
    </w:p>
    <w:p>
      <w:pPr>
        <w:pStyle w:val="null3"/>
        <w:ind w:firstLine="442"/>
      </w:pPr>
      <w:r>
        <w:rPr>
          <w:sz w:val="22"/>
          <w:b/>
        </w:rPr>
        <w:t xml:space="preserve">第七条 </w:t>
      </w:r>
      <w:r>
        <w:rPr>
          <w:sz w:val="22"/>
        </w:rPr>
        <w:t>甲方职责</w:t>
      </w:r>
    </w:p>
    <w:p>
      <w:pPr>
        <w:pStyle w:val="null3"/>
        <w:ind w:firstLine="480"/>
      </w:pPr>
      <w:r>
        <w:rPr>
          <w:sz w:val="22"/>
        </w:rPr>
        <w:t>1、协助乙方按双方确定的大赛服务方案举办该比赛，在大赛宣传推广、竞赛、举办配套活动等各个阶段，负责协调各相关部门支持配合乙方开展本次大赛活动，协助落实相关活动举办场地、领导邀请等工作，积极组织本市企业参与大赛各项活动，共同促使大赛各项活动顺利进行；</w:t>
      </w:r>
    </w:p>
    <w:p>
      <w:pPr>
        <w:pStyle w:val="null3"/>
        <w:ind w:firstLine="440"/>
      </w:pPr>
      <w:r>
        <w:rPr>
          <w:sz w:val="22"/>
        </w:rPr>
        <w:t>2、推荐、联络和确定特邀媒体单位，协助争取东莞市各官方媒体支持，争取官方媒体对本次大赛的赛事新闻、赛事进程进行跟踪报道，保证大赛活动能够最大限度的营造知.名度和影响力，达到大赛宣传推广效果。</w:t>
      </w:r>
    </w:p>
    <w:p>
      <w:pPr>
        <w:pStyle w:val="null3"/>
        <w:ind w:firstLine="440"/>
      </w:pPr>
      <w:r>
        <w:rPr>
          <w:sz w:val="22"/>
        </w:rPr>
        <w:t>3、按照本协议约定及时向乙方拨付大赛承办费用，对乙方工作进行监督指导；</w:t>
      </w:r>
    </w:p>
    <w:p>
      <w:pPr>
        <w:pStyle w:val="null3"/>
        <w:ind w:firstLine="440"/>
      </w:pPr>
      <w:r>
        <w:rPr>
          <w:sz w:val="22"/>
        </w:rPr>
        <w:t>4、协助乙方更好地推进设计资源对接及成果转化。</w:t>
      </w:r>
    </w:p>
    <w:p>
      <w:pPr>
        <w:pStyle w:val="null3"/>
        <w:ind w:firstLine="440"/>
      </w:pPr>
      <w:r>
        <w:rPr>
          <w:sz w:val="22"/>
        </w:rPr>
        <w:t>5、全力支持、配合乙方完成本次大赛的其他相关事务。</w:t>
      </w:r>
    </w:p>
    <w:p>
      <w:pPr>
        <w:pStyle w:val="null3"/>
        <w:ind w:firstLine="442"/>
      </w:pPr>
      <w:r>
        <w:rPr>
          <w:sz w:val="22"/>
          <w:b/>
        </w:rPr>
        <w:t xml:space="preserve">第八条 </w:t>
      </w:r>
      <w:r>
        <w:rPr>
          <w:sz w:val="22"/>
        </w:rPr>
        <w:t>乙方职责</w:t>
      </w:r>
    </w:p>
    <w:p>
      <w:pPr>
        <w:pStyle w:val="null3"/>
        <w:ind w:firstLine="440"/>
      </w:pPr>
      <w:r>
        <w:rPr>
          <w:sz w:val="22"/>
        </w:rPr>
        <w:t>1、认真、系统、周密地组织比赛，确保大赛的质量和公正性、合理性；</w:t>
      </w:r>
    </w:p>
    <w:p>
      <w:pPr>
        <w:pStyle w:val="null3"/>
        <w:ind w:firstLine="440"/>
      </w:pPr>
      <w:r>
        <w:rPr>
          <w:sz w:val="22"/>
        </w:rPr>
        <w:t>2、保证大赛和甲方的声誉不受损害，尊重参赛者的知识产权；</w:t>
      </w:r>
    </w:p>
    <w:p>
      <w:pPr>
        <w:pStyle w:val="null3"/>
        <w:ind w:firstLine="440"/>
      </w:pPr>
      <w:r>
        <w:rPr>
          <w:sz w:val="22"/>
        </w:rPr>
        <w:t>3、在进行宣传、组织、竞赛等活动的过程中，所拟定的方案、规则等资料原则上须先呈送甲方审查并备案；</w:t>
      </w:r>
    </w:p>
    <w:p>
      <w:pPr>
        <w:pStyle w:val="null3"/>
        <w:ind w:firstLine="440"/>
      </w:pPr>
      <w:r>
        <w:rPr>
          <w:sz w:val="22"/>
        </w:rPr>
        <w:t>4、对甲方下达的各类文件须及时准确完整地传达、分发、执行，不得对内容擅自更改或遗漏；</w:t>
      </w:r>
    </w:p>
    <w:p>
      <w:pPr>
        <w:pStyle w:val="null3"/>
        <w:ind w:firstLine="440"/>
      </w:pPr>
      <w:r>
        <w:rPr>
          <w:sz w:val="22"/>
        </w:rPr>
        <w:t>5、不得中途退出承办，不得违规操作，须严格遵守执行本合同条款，否则，甲方将有权在有关部门和媒体上通报；</w:t>
      </w:r>
    </w:p>
    <w:p>
      <w:pPr>
        <w:pStyle w:val="null3"/>
        <w:ind w:firstLine="440"/>
      </w:pPr>
      <w:r>
        <w:rPr>
          <w:sz w:val="22"/>
        </w:rPr>
        <w:t>6、受甲方委托，对获奖者发放奖金，并代缴税金。</w:t>
      </w:r>
    </w:p>
    <w:p>
      <w:pPr>
        <w:pStyle w:val="null3"/>
        <w:ind w:firstLine="440"/>
      </w:pPr>
      <w:r>
        <w:rPr>
          <w:sz w:val="22"/>
        </w:rPr>
        <w:t>7、认真完成本次大赛的其他相关事务。</w:t>
      </w:r>
    </w:p>
    <w:p>
      <w:pPr>
        <w:pStyle w:val="null3"/>
        <w:ind w:firstLine="440"/>
      </w:pPr>
      <w:r>
        <w:rPr>
          <w:sz w:val="22"/>
        </w:rPr>
        <w:t>8、乙方作为该项目活动的服务方，在合同履行过程中及服务过程中，乙方应当负责活动的人身及财产等安全责任，如导致甲方或其他第三方人员人身财产损害的，由乙方负责。</w:t>
      </w:r>
    </w:p>
    <w:p>
      <w:pPr>
        <w:pStyle w:val="null3"/>
        <w:ind w:firstLine="440"/>
      </w:pPr>
      <w:r>
        <w:rPr>
          <w:sz w:val="22"/>
        </w:rPr>
        <w:t>9、乙方确保在履行合同过程中，不存在侵犯任何第三方知识产权等合法权益的行为，如因此造成第三方主张赔偿的，由乙方承担。</w:t>
      </w:r>
    </w:p>
    <w:p>
      <w:pPr>
        <w:pStyle w:val="null3"/>
        <w:ind w:firstLine="440"/>
      </w:pPr>
      <w:r>
        <w:rPr>
          <w:sz w:val="22"/>
        </w:rPr>
        <w:t>10、乙方承诺在合同履行期间，不得出现违反法律法规或相关政策的情形。</w:t>
      </w:r>
    </w:p>
    <w:p>
      <w:pPr>
        <w:pStyle w:val="null3"/>
        <w:ind w:firstLine="442"/>
      </w:pPr>
      <w:r>
        <w:rPr>
          <w:sz w:val="22"/>
          <w:b/>
        </w:rPr>
        <w:t>第九条</w:t>
      </w:r>
      <w:r>
        <w:rPr>
          <w:sz w:val="22"/>
        </w:rPr>
        <w:t xml:space="preserve"> 项目验收</w:t>
      </w:r>
    </w:p>
    <w:p>
      <w:pPr>
        <w:pStyle w:val="null3"/>
        <w:ind w:firstLine="440"/>
      </w:pPr>
      <w:r>
        <w:rPr>
          <w:sz w:val="22"/>
        </w:rPr>
        <w:t>乙方完成项目合同约定的全部服务内容，应通过甲方组织的项目验收评审，乙方提交的材料包括但不限于以下材料：策划方案及项目报告、精选现场照片、宣传视频、宣传报告、赛事成果报告，甲方根据乙方的履行情况及提交的材料完成书面确认验收通过，如乙方未按合同履行义务导致验收不合格的，甲方有权视情况扣除部分或全部项目尾款，且乙方应承担相应违约责任。</w:t>
      </w:r>
    </w:p>
    <w:p>
      <w:pPr>
        <w:pStyle w:val="null3"/>
        <w:ind w:firstLine="442"/>
      </w:pPr>
      <w:r>
        <w:rPr>
          <w:sz w:val="22"/>
          <w:b/>
        </w:rPr>
        <w:t>第十条</w:t>
      </w:r>
      <w:r>
        <w:rPr>
          <w:sz w:val="22"/>
        </w:rPr>
        <w:t xml:space="preserve"> 保密义务</w:t>
      </w:r>
    </w:p>
    <w:p>
      <w:pPr>
        <w:pStyle w:val="null3"/>
        <w:ind w:firstLine="440"/>
      </w:pPr>
      <w:r>
        <w:rPr>
          <w:sz w:val="22"/>
        </w:rPr>
        <w:t>甲、乙双方对本次大赛比赛过程中所知悉的参赛者个人信息、参赛作品等内容负有保密义务，除为履行本合同及大赛赛事需要外，不得向任何第三方披露或泄露给第三方。</w:t>
      </w:r>
    </w:p>
    <w:p>
      <w:pPr>
        <w:pStyle w:val="null3"/>
        <w:ind w:firstLine="442"/>
      </w:pPr>
      <w:r>
        <w:rPr>
          <w:sz w:val="22"/>
          <w:b/>
        </w:rPr>
        <w:t xml:space="preserve">第十一条 </w:t>
      </w:r>
      <w:r>
        <w:rPr>
          <w:sz w:val="22"/>
        </w:rPr>
        <w:t>不可抗力及免责条款</w:t>
      </w:r>
    </w:p>
    <w:p>
      <w:pPr>
        <w:pStyle w:val="null3"/>
        <w:ind w:firstLine="440"/>
      </w:pPr>
      <w:r>
        <w:rPr>
          <w:sz w:val="22"/>
        </w:rPr>
        <w:t>1、因不可抗力因素，自然灾害及其他不能预见并且对发生和后果不能防止或避免的不可抗力事故，致使影响本协议履行的，甲乙双方应根据具体情形协商解决。</w:t>
      </w:r>
    </w:p>
    <w:p>
      <w:pPr>
        <w:pStyle w:val="null3"/>
        <w:ind w:left="420"/>
      </w:pPr>
      <w:r>
        <w:rPr/>
        <w:t xml:space="preserve">     2</w:t>
      </w:r>
      <w:r>
        <w:rPr/>
        <w:t>、甲乙双方互不承担任何因不可抗力所致协议终止的责任。</w:t>
      </w:r>
    </w:p>
    <w:p>
      <w:pPr>
        <w:pStyle w:val="null3"/>
        <w:ind w:firstLine="442"/>
      </w:pPr>
      <w:r>
        <w:rPr>
          <w:sz w:val="22"/>
          <w:b/>
        </w:rPr>
        <w:t xml:space="preserve">第十二条 </w:t>
      </w:r>
      <w:r>
        <w:rPr>
          <w:sz w:val="22"/>
        </w:rPr>
        <w:t>违约责任</w:t>
      </w:r>
    </w:p>
    <w:p>
      <w:pPr>
        <w:pStyle w:val="null3"/>
        <w:ind w:firstLine="440"/>
      </w:pPr>
      <w:r>
        <w:rPr>
          <w:sz w:val="22"/>
        </w:rPr>
        <w:t>1、本协议的任何一方违反本协议的约定，构成违约的，应依法承担相应的违约赔偿责任。</w:t>
      </w:r>
    </w:p>
    <w:p>
      <w:pPr>
        <w:pStyle w:val="null3"/>
        <w:ind w:firstLine="440"/>
      </w:pPr>
      <w:r>
        <w:rPr>
          <w:sz w:val="22"/>
        </w:rPr>
        <w:t>2、在合同履行过程中，乙方未经甲方同意不得对本合同项下权利义务进行转包或分包，且甲方有权随时对乙方进行监督检查，并对乙方提出整改意见，乙方应予配合。</w:t>
      </w:r>
    </w:p>
    <w:p>
      <w:pPr>
        <w:pStyle w:val="null3"/>
        <w:ind w:firstLine="440"/>
      </w:pPr>
      <w:r>
        <w:rPr>
          <w:sz w:val="22"/>
        </w:rPr>
        <w:t>3、在履行合同过程中，因乙方或乙方人员导致的人身及财产损害，由乙方承担赔偿责任。</w:t>
      </w:r>
    </w:p>
    <w:p>
      <w:pPr>
        <w:pStyle w:val="null3"/>
        <w:ind w:firstLine="440"/>
      </w:pPr>
      <w:r>
        <w:rPr>
          <w:sz w:val="22"/>
        </w:rPr>
        <w:t>4、如因乙方在履行合同过程中违反合同约定，或因乙方原因导致项目无法按约定履行的，甲方有权随时要求乙方整改，如仍无法达到要求的，甲方有权解除合同，乙方应退还已收取的费用，并赔偿由此给甲方造成的损失，包括但不限于甲方先行垫付的赔偿费用、另行举办会议的费用、诉讼费用、鉴定费用及律师费用等所有费用。</w:t>
      </w:r>
    </w:p>
    <w:p>
      <w:pPr>
        <w:pStyle w:val="null3"/>
        <w:ind w:firstLine="442"/>
      </w:pPr>
      <w:r>
        <w:rPr>
          <w:sz w:val="22"/>
          <w:b/>
        </w:rPr>
        <w:t>第十三条</w:t>
      </w:r>
      <w:r>
        <w:rPr>
          <w:sz w:val="22"/>
        </w:rPr>
        <w:t xml:space="preserve"> 知识产权</w:t>
      </w:r>
    </w:p>
    <w:p>
      <w:pPr>
        <w:pStyle w:val="null3"/>
        <w:ind w:firstLine="440"/>
      </w:pPr>
      <w:r>
        <w:rPr>
          <w:sz w:val="22"/>
        </w:rPr>
        <w:t>本合同履行过程中形成的任何知识产权归属甲方单独所有。未经甲方书面允许，乙方不得擅自使用或允许任何第三方使用。</w:t>
      </w:r>
    </w:p>
    <w:p>
      <w:pPr>
        <w:pStyle w:val="null3"/>
        <w:ind w:firstLine="442"/>
      </w:pPr>
      <w:r>
        <w:rPr>
          <w:sz w:val="22"/>
          <w:b/>
        </w:rPr>
        <w:t>第</w:t>
      </w:r>
      <w:r>
        <w:rPr>
          <w:sz w:val="22"/>
          <w:b/>
        </w:rPr>
        <w:t>十四</w:t>
      </w:r>
      <w:r>
        <w:rPr>
          <w:sz w:val="22"/>
          <w:b/>
        </w:rPr>
        <w:t xml:space="preserve">条 </w:t>
      </w:r>
      <w:r>
        <w:rPr>
          <w:sz w:val="22"/>
        </w:rPr>
        <w:t>其他</w:t>
      </w:r>
    </w:p>
    <w:p>
      <w:pPr>
        <w:pStyle w:val="null3"/>
        <w:ind w:firstLine="440"/>
      </w:pPr>
      <w:r>
        <w:rPr>
          <w:sz w:val="22"/>
        </w:rPr>
        <w:t>1、本合同未尽事宜，甲乙双方本着友好合作的态度协商解决，如果协商或调解不能解决争议，任何一方均可向甲方所在地人民法院提起诉讼。</w:t>
      </w:r>
    </w:p>
    <w:p>
      <w:pPr>
        <w:pStyle w:val="null3"/>
        <w:ind w:firstLine="440"/>
      </w:pPr>
      <w:r>
        <w:rPr>
          <w:sz w:val="22"/>
        </w:rPr>
        <w:t>2、本合同中各方在合同首部约定的联系人及通讯方式为履行合同通知义务方式及地址，若在履行本合同中双方有任何争议，甚至涉及诉讼时，该地址为双方法定地址。若其中一方地址发生变化，应立即书面通知另一方，否则，造成各方联系障碍，由有过错的一方负责。</w:t>
      </w:r>
    </w:p>
    <w:p>
      <w:pPr>
        <w:pStyle w:val="null3"/>
        <w:ind w:firstLine="440"/>
      </w:pPr>
      <w:r>
        <w:rPr>
          <w:sz w:val="22"/>
        </w:rPr>
        <w:t>3、本合同一式八份，甲方执五份，乙方执二份，采购代理机构执一份，每份具有同等之法律效力。自签订之日起生效，到项目验收和质保金付清之日起自然失效。</w:t>
      </w:r>
    </w:p>
    <w:p>
      <w:pPr>
        <w:pStyle w:val="null3"/>
      </w:pPr>
      <w:r>
        <w:rPr>
          <w:sz w:val="22"/>
          <w:b/>
        </w:rPr>
        <w:t>甲方：（盖章）                             乙方：（盖章）</w:t>
      </w:r>
      <w:r>
        <w:rPr>
          <w:sz w:val="22"/>
        </w:rPr>
        <w:t xml:space="preserve"> </w:t>
      </w:r>
    </w:p>
    <w:p>
      <w:pPr>
        <w:pStyle w:val="null3"/>
      </w:pPr>
      <w:r>
        <w:rPr>
          <w:sz w:val="22"/>
        </w:rPr>
        <w:t>甲方法人代表(签字)</w:t>
      </w:r>
      <w:r>
        <w:rPr>
          <w:sz w:val="22"/>
          <w:b/>
        </w:rPr>
        <w:t xml:space="preserve">：                      </w:t>
      </w:r>
      <w:r>
        <w:rPr>
          <w:sz w:val="22"/>
        </w:rPr>
        <w:t>乙方法人代表(签字)：</w:t>
      </w:r>
    </w:p>
    <w:p>
      <w:pPr>
        <w:pStyle w:val="null3"/>
      </w:pPr>
      <w:r>
        <w:rPr>
          <w:sz w:val="22"/>
          <w:b/>
        </w:rPr>
        <w:t>签约日期：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441901-2024-06749</w:t>
      </w:r>
    </w:p>
    <w:p>
      <w:pPr>
        <w:pStyle w:val="null3"/>
        <w:jc w:val="center"/>
        <w:outlineLvl w:val="3"/>
      </w:pPr>
      <w:r>
        <w:rPr>
          <w:sz w:val="24"/>
          <w:b/>
        </w:rPr>
        <w:t>采购项目编号：</w:t>
      </w:r>
      <w:r>
        <w:rPr>
          <w:sz w:val="24"/>
          <w:b/>
        </w:rPr>
        <w:t>441901-2024-06749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广东洲际招标代理有限公司</w:t>
      </w:r>
    </w:p>
    <w:p>
      <w:pPr>
        <w:pStyle w:val="null3"/>
        <w:ind w:firstLine="480"/>
      </w:pPr>
      <w:r>
        <w:rPr/>
        <w:t xml:space="preserve"> 你方组织的</w:t>
      </w:r>
      <w:r>
        <w:rPr>
          <w:u w:val="single"/>
        </w:rPr>
        <w:t>“</w:t>
      </w:r>
      <w:r>
        <w:rPr>
          <w:u w:val="single"/>
        </w:rPr>
        <w:t>第四届工业软件创新应用大赛策划及承办服务</w:t>
      </w:r>
      <w:r>
        <w:rPr>
          <w:u w:val="single"/>
        </w:rPr>
        <w:t>”</w:t>
      </w:r>
      <w:r>
        <w:rPr/>
        <w:t>项目的竞争性磋商[采购项目编号为：</w:t>
      </w:r>
      <w:r>
        <w:rPr>
          <w:u w:val="single"/>
        </w:rPr>
        <w:t>441901-2024-06749</w:t>
      </w:r>
      <w:r>
        <w:rPr/>
        <w:t>]，我方愿参与响应。</w:t>
      </w:r>
    </w:p>
    <w:p>
      <w:pPr>
        <w:pStyle w:val="null3"/>
        <w:ind w:firstLine="480"/>
      </w:pPr>
      <w:r>
        <w:rPr/>
        <w:t>我方确认收到贵方提供的</w:t>
      </w:r>
      <w:r>
        <w:rPr>
          <w:u w:val="single"/>
        </w:rPr>
        <w:t>“</w:t>
      </w:r>
      <w:r>
        <w:rPr>
          <w:u w:val="single"/>
        </w:rPr>
        <w:t>第四届工业软件创新应用大赛策划及承办服务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广东洲际招标代理有限公司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第四届工业软件创新应用大赛策划及承办服务</w:t>
      </w:r>
      <w:r>
        <w:rPr/>
        <w:t>”项目采购[采购项目编号为</w:t>
      </w:r>
      <w:r>
        <w:rPr/>
        <w:t>441901-2024-06749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东莞市工业和信息化局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广东洲际招标代理有限公司</w:t>
      </w:r>
    </w:p>
    <w:p>
      <w:pPr>
        <w:pStyle w:val="null3"/>
        <w:ind w:firstLine="480"/>
      </w:pPr>
      <w:r>
        <w:rPr/>
        <w:t>我单位参加贵公司组织的</w:t>
      </w:r>
      <w:r>
        <w:rPr/>
        <w:t>第四届工业软件创新应用大赛策划及承办服务</w:t>
      </w:r>
      <w:r>
        <w:rPr/>
        <w:t>（采购项目编号：</w:t>
      </w:r>
      <w:r>
        <w:rPr/>
        <w:t>441901-2024-06749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广东洲际招标代理有限公司</w:t>
      </w:r>
    </w:p>
    <w:p>
      <w:pPr>
        <w:pStyle w:val="null3"/>
        <w:ind w:firstLine="480"/>
      </w:pPr>
      <w:r>
        <w:rPr/>
        <w:t>我单位已登记并准备参与“</w:t>
      </w:r>
      <w:r>
        <w:rPr/>
        <w:t>第四届工业软件创新应用大赛策划及承办服务</w:t>
      </w:r>
      <w:r>
        <w:rPr/>
        <w:t>”项目（采购项目编号：</w:t>
      </w:r>
      <w:r>
        <w:rPr/>
        <w:t>441901-2024-06749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